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SNR#3083 티켓 기반 소명 요청 시 소명 분류, 소명 중요도의 기본값이 티켓 분류, 티켓 중요도와 동일하게 설정되도록 개선</w:t>
      </w:r>
    </w:p>
    <w:p>
      <w:r>
        <w:rPr>
          <w:b w:val="on"/>
        </w:rPr>
        <w:t>버전: [4.0.2511.0](../../4.0/releases/4.0.2511.0)</w:t>
      </w:r>
    </w:p>
    <w:p>
      <w:r>
        <w:t>티켓을 근거 자료로 소명을 요청할 때 소명 분류와 소명 중요도의 기본값이 해당 티켓의 분류 및 중요도와 동일하게 설정됩니다. 단, 소명 분류에 티켓 분류와 동일한 이름이 존재하는 경우에만 동작합니다.</w:t>
      </w:r>
    </w:p>
    <w:p>
      <w:pPr>
        <w:numPr>
          <w:numId w:val="6"/>
        </w:numPr>
        <w:spacing w:before="0" w:after="0"/>
        <w:ind w:left="360" w:hanging="360"/>
      </w:pPr>
      <w:r>
        <w:t>소명 요청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525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