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임직원 추가</w:t>
      </w:r>
    </w:p>
    <w:p>
      <w:r>
        <w:rPr>
          <w:rStyle w:val="af4"/>
        </w:rPr>
        <w:t>새 임직원 추가</w:t>
      </w:r>
      <w:r>
        <w:t xml:space="preserve"> 버튼을 클릭해서 임직원을 추가합니다.</w:t>
      </w:r>
    </w:p>
    <w:p>
      <w:r>
        <w:drawing>
          <wp:inline distT="0" distR="0" distB="0" distL="0">
            <wp:extent cx="5715000" cy="3098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필수 항목(사번, 성명, 직급, 이메일, 회사) 및 선택 항목을 입력합니다. 해당 임직원이 소나 계정이 있으면 계정 항목에서 해당 계정을 선택합니다. </w:t>
      </w:r>
      <w:r>
        <w:rPr>
          <w:rStyle w:val="af4"/>
        </w:rPr>
        <w:t>저장</w:t>
      </w:r>
      <w:r>
        <w:t xml:space="preserve"> 버튼을 클릭하면 해당 임직원이 추가됩니다.</w:t>
      </w:r>
    </w:p>
    <w:p>
      <w:r>
        <w:drawing>
          <wp:inline distT="0" distR="0" distB="0" distL="0">
            <wp:extent cx="5715000" cy="3098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