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2"/>
      </w:pPr>
      <w:r>
        <w:t>문서 변경 이력</w:t>
      </w:r>
    </w:p>
    <w:p>
      <w:pPr>
        <w:pStyle w:val="3"/>
      </w:pPr>
      <w:r>
        <w:t>2609.0 — 소나 4.0.2609.0 기준</w:t>
      </w:r>
    </w:p>
    <w:p>
      <w:r>
        <w:rPr>
          <w:b w:val="on"/>
        </w:rPr>
        <w:t>4.0.2609.0 신규 기능·변경 사항 반영</w:t>
      </w:r>
    </w:p>
    <w:p>
      <w:r>
        <w:t>소나 4.0.2609.0의 웹 콘솔 변경을 소스 코드와 대조하여 반영했습니다.</w:t>
      </w:r>
    </w:p>
    <w:p>
      <w:pPr>
        <w:numPr>
          <w:numId w:val="6"/>
        </w:numPr>
        <w:spacing w:before="0" w:after="0"/>
        <w:ind w:left="360" w:hanging="360"/>
      </w:pPr>
      <w:r>
        <w:t>탐지 시나리오 수정 화면의 예외 규칙 탭(</w:t>
      </w:r>
      <w:hyperlink r:id="rId10">
        <w:r>
          <w:rPr>
            <w:rStyle w:val="a6"/>
          </w:rPr>
          <w:t>SNR#3348</w:t>
        </w:r>
      </w:hyperlink>
      <w:r>
        <w:t>)과 버전 이력 탭(</w:t>
      </w:r>
      <w:hyperlink r:id="rId11">
        <w:r>
          <w:rPr>
            <w:rStyle w:val="a6"/>
          </w:rPr>
          <w:t>SNR#3299</w:t>
        </w:r>
      </w:hyperlink>
      <w:r>
        <w:t>) 절을 신설하고, 시나리오 복제 시 이름에 자동으로 순번이 붙는 동작(</w:t>
      </w:r>
      <w:hyperlink r:id="rId12">
        <w:r>
          <w:rPr>
            <w:rStyle w:val="a6"/>
          </w:rPr>
          <w:t>SNR#3416</w:t>
        </w:r>
      </w:hyperlink>
      <w:r>
        <w:t>)과 시나리오 이름 최대 255자·배치 쿼리 최대 10,000자 제한(SNR#3232)을 반영 — 실시간 탐지·배치 탐지 문서 업데이트</w:t>
      </w:r>
    </w:p>
    <w:p>
      <w:pPr>
        <w:numPr>
          <w:numId w:val="6"/>
        </w:numPr>
        <w:spacing w:before="0" w:after="0"/>
        <w:ind w:left="360" w:hanging="360"/>
      </w:pPr>
      <w:r>
        <w:t>탐지 시나리오 편집의 MITRE 공격 기법·전술 선택기, 티켓 상세의 MITRE TTP 표시, 자산 IP의 기밀성·무결성·가용성 등급, 보안정보의 CVE 컬럼 재구성과 CWE·CAPEC 절 신설 (</w:t>
      </w:r>
      <w:hyperlink r:id="rId13">
        <w:r>
          <w:rPr>
            <w:rStyle w:val="a6"/>
          </w:rPr>
          <w:t>SNR#3396</w:t>
        </w:r>
      </w:hyperlink>
      <w:r>
        <w:t>) — 보안정보·실시간 탐지·배치 탐지·티켓·자산 IP 문서 업데이트</w:t>
      </w:r>
    </w:p>
    <w:p>
      <w:pPr>
        <w:numPr>
          <w:numId w:val="6"/>
        </w:numPr>
        <w:spacing w:before="0" w:after="0"/>
        <w:ind w:left="360" w:hanging="360"/>
      </w:pPr>
      <w:r>
        <w:t>시나리오 분류 목록 다운로드 절 신설(SNR#3241) — 실시간 탐지 문서 업데이트</w:t>
      </w:r>
    </w:p>
    <w:p>
      <w:pPr>
        <w:numPr>
          <w:numId w:val="6"/>
        </w:numPr>
        <w:spacing w:before="0" w:after="0"/>
        <w:ind w:left="360" w:hanging="360"/>
      </w:pPr>
      <w:r>
        <w:t>용량 표시가 바이트부터 엑사바이트까지 환산된다는 점 반영(SNR#3465) — 수집기·테이블·라이선스 문서 업데이트</w:t>
      </w:r>
    </w:p>
    <w:p>
      <w:pPr>
        <w:numPr>
          <w:numId w:val="6"/>
        </w:numPr>
        <w:spacing w:before="0" w:after="0"/>
        <w:ind w:left="360" w:hanging="360"/>
      </w:pPr>
      <w:r>
        <w:t>쿼리 모니터에서 와일드카드로 지정한 테이블 목록이 계정의 조회 권한에 따라 걸러진다는 점 서술 (</w:t>
      </w:r>
      <w:hyperlink r:id="rId14">
        <w:r>
          <w:rPr>
            <w:rStyle w:val="a6"/>
          </w:rPr>
          <w:t>SNR#3946</w:t>
        </w:r>
      </w:hyperlink>
      <w:r>
        <w:t>) — 쿼리 모니터 문서 업데이트</w:t>
      </w:r>
    </w:p>
    <w:p>
      <w:pPr>
        <w:numPr>
          <w:numId w:val="6"/>
        </w:numPr>
        <w:spacing w:before="0" w:after="0"/>
        <w:ind w:left="360" w:hanging="360"/>
      </w:pPr>
      <w:r>
        <w:t>웹 콘솔에서 센트리 패키지를 원격으로 설치·업그레이드하는 절과 설치 상태 확인 절을 신설하고, 윈도우 요건(PowerShell 2.0·.NET Framework 4.0 이상, TLS 1.2)과 패키지 내려받기 주소를 정정 (</w:t>
      </w:r>
      <w:hyperlink r:id="rId15">
        <w:r>
          <w:rPr>
            <w:rStyle w:val="a6"/>
          </w:rPr>
          <w:t>SNR#3033</w:t>
        </w:r>
      </w:hyperlink>
      <w:r>
        <w:t>·</w:t>
      </w:r>
      <w:hyperlink r:id="rId16">
        <w:r>
          <w:rPr>
            <w:rStyle w:val="a6"/>
          </w:rPr>
          <w:t>SNR#3848</w:t>
        </w:r>
      </w:hyperlink>
      <w:r>
        <w:t>) — 센트리 문서 업데이트</w:t>
      </w:r>
    </w:p>
    <w:p>
      <w:pPr>
        <w:numPr>
          <w:numId w:val="6"/>
        </w:numPr>
        <w:spacing w:before="0" w:after="0"/>
        <w:ind w:left="360" w:hanging="360"/>
      </w:pPr>
      <w:r>
        <w:t>JDBC 센트리 수집기와 지원 데이터베이스 목록 수록 (</w:t>
      </w:r>
      <w:hyperlink r:id="rId17">
        <w:r>
          <w:rPr>
            <w:rStyle w:val="a6"/>
          </w:rPr>
          <w:t>SNR#3461</w:t>
        </w:r>
      </w:hyperlink>
      <w:r>
        <w:t>) — 수집기·센트리 문서 업데이트</w:t>
      </w:r>
    </w:p>
    <w:p>
      <w:pPr>
        <w:numPr>
          <w:numId w:val="6"/>
        </w:numPr>
        <w:spacing w:before="0" w:after="0"/>
        <w:ind w:left="360" w:hanging="360"/>
      </w:pPr>
      <w:r>
        <w:t>라이선스 발급·갱신 시 하드웨어 키를 다시 확인해야 한다는 주의와 APC·컨테이너 CPU 할당량 변경이 라이선스 인식에 영향을 주지 않는다는 점 반영 (</w:t>
      </w:r>
      <w:hyperlink r:id="rId18">
        <w:r>
          <w:rPr>
            <w:rStyle w:val="a6"/>
          </w:rPr>
          <w:t>SNR#4031</w:t>
        </w:r>
      </w:hyperlink>
      <w:r>
        <w:t>) — 라이선스 문서 업데이트</w:t>
      </w:r>
    </w:p>
    <w:p>
      <w:pPr>
        <w:numPr>
          <w:numId w:val="6"/>
        </w:numPr>
        <w:spacing w:before="0" w:after="0"/>
        <w:ind w:left="360" w:hanging="360"/>
      </w:pPr>
      <w:r>
        <w:t>센트리의 바이트 기준 전송 상한 설정과 조회·변경 명령 절 신설 (</w:t>
      </w:r>
      <w:hyperlink r:id="rId19">
        <w:r>
          <w:rPr>
            <w:rStyle w:val="a6"/>
          </w:rPr>
          <w:t>SNR#3947</w:t>
        </w:r>
      </w:hyperlink>
      <w:r>
        <w:t>) — 센트리 문서 업데이트</w:t>
      </w:r>
    </w:p>
    <w:p>
      <w:pPr>
        <w:numPr>
          <w:numId w:val="6"/>
        </w:numPr>
        <w:spacing w:before="0" w:after="0"/>
        <w:ind w:left="360" w:hanging="360"/>
      </w:pPr>
      <w:r>
        <w:t>접속 프로파일의 접속·읽기 타임아웃 필드, 쿼리 화면의 조회 건수 선택기와 셀 상세 보기, 메일 서버의 사용자 ID 규칙, 주소 그룹 일괄 추가와 유지 기간, 임직원 목록 구성, 로그·위젯의 셀 더보기, 로테이션 수집기의 파일명 패턴, 성능 모니터의 디스크 사용량 산정 기준, 침해 지표·플레이북의 다운로드 버튼 반영 — 13개 문서 업데이트</w:t>
      </w:r>
    </w:p>
    <w:p>
      <w:r>
        <w:rPr>
          <w:b w:val="on"/>
        </w:rPr>
        <w:t>스크린샷 촬영·갱신</w:t>
      </w:r>
    </w:p>
    <w:p>
      <w:pPr>
        <w:numPr>
          <w:numId w:val="7"/>
        </w:numPr>
        <w:spacing w:before="0" w:after="0"/>
        <w:ind w:left="360" w:hanging="360"/>
      </w:pPr>
      <w:r>
        <w:t>신규 화면 스크린샷 촬영 — 보안정보 CWE·CAPEC 목록, 실시간·배치 탐지 시나리오 편집기의 MITRE 공격 기법·전술 선택기, 자산 IP의 등급 입력, 시나리오 분류 관리 창과 목록 다운로드 대화상자</w:t>
      </w:r>
    </w:p>
    <w:p>
      <w:pPr>
        <w:numPr>
          <w:numId w:val="7"/>
        </w:numPr>
        <w:spacing w:before="0" w:after="0"/>
        <w:ind w:left="360" w:hanging="360"/>
      </w:pPr>
      <w:r>
        <w:t>화면이 변경된 기존 스크린샷 갱신 — 보안정보 CVE 목록, 센트리 목록, 원격 패키지 설치 창과 설치 상태 창</w:t>
      </w:r>
    </w:p>
    <w:p>
      <w:pPr>
        <w:numPr>
          <w:numId w:val="7"/>
        </w:numPr>
        <w:spacing w:before="0" w:after="0"/>
        <w:ind w:left="360" w:hanging="360"/>
      </w:pPr>
      <w:r>
        <w:t>스크린샷의 프레임 여백을 페이지 배경색 띠로 통일하고, 목록 화면은 하단의 페이지 이동 도구까지 함께 보이도록 재촬영</w:t>
      </w:r>
    </w:p>
    <w:p>
      <w:r>
        <w:rPr>
          <w:b w:val="on"/>
        </w:rPr>
        <w:t>표기 정정 및 문서 정비</w:t>
      </w:r>
    </w:p>
    <w:p>
      <w:pPr>
        <w:numPr>
          <w:numId w:val="8"/>
        </w:numPr>
        <w:spacing w:before="0" w:after="0"/>
        <w:ind w:left="360" w:hanging="360"/>
      </w:pPr>
      <w:r>
        <w:t>주소 그룹 카드가 실재하지 않는 문서를 가리켜 404가 되던 링크 정정</w:t>
      </w:r>
    </w:p>
    <w:p>
      <w:pPr>
        <w:numPr>
          <w:numId w:val="8"/>
        </w:numPr>
        <w:spacing w:before="0" w:after="0"/>
        <w:ind w:left="360" w:hanging="360"/>
      </w:pPr>
      <w:r>
        <w:t>수집 모델 이름을 소스 현행 표시명인 "전달 노드 성능 로그"로 정정 — 수집 모델 문서 업데이트</w:t>
      </w:r>
    </w:p>
    <w:p>
      <w:pPr>
        <w:numPr>
          <w:numId w:val="8"/>
        </w:numPr>
        <w:spacing w:before="0" w:after="0"/>
        <w:ind w:left="360" w:hanging="360"/>
      </w:pPr>
      <w:r>
        <w:t>목차에 등재되지 않은 중복 문서 8건과 참조되지 않는 이미지 정리</w:t>
      </w:r>
    </w:p>
    <w:p>
      <w:pPr>
        <w:numPr>
          <w:numId w:val="8"/>
        </w:numPr>
        <w:spacing w:before="0" w:after="0"/>
        <w:ind w:left="360" w:hanging="360"/>
      </w:pPr>
      <w:r>
        <w:t>버튼 이름을 웹 콘솔 i18n 실값인 "클립보드에 복사"로 정정 — 센트리·쿼리 모니터 문서 업데이트</w:t>
      </w:r>
    </w:p>
    <w:p>
      <w:pPr>
        <w:numPr>
          <w:numId w:val="8"/>
        </w:numPr>
        <w:spacing w:before="0" w:after="0"/>
        <w:ind w:left="360" w:hanging="360"/>
      </w:pPr>
      <w:r>
        <w:t>평판 DB 표기 통일, 룰·매개변수 표의 컬럼 밀림 정정, 해시 룰 이름에 필드 유형별 접두사가 붙는다는 점 명시 — 위협 인텔리전스·플레이북 문서 업데이트</w:t>
      </w:r>
    </w:p>
    <w:p>
      <w:pPr>
        <w:numPr>
          <w:numId w:val="8"/>
        </w:numPr>
        <w:spacing w:before="0" w:after="0"/>
        <w:ind w:left="360" w:hanging="360"/>
      </w:pPr>
      <w:r>
        <w:t>접속 프로파일의 타임아웃 필드가 각각 연결 수립까지와 응답 대기까지의 시간이라는 점을 명시하고 필수 여부 표시 — 접속 프로파일 문서 업데이트</w:t>
      </w:r>
    </w:p>
    <w:p>
      <w:pPr>
        <w:numPr>
          <w:numId w:val="8"/>
        </w:numPr>
        <w:spacing w:before="0" w:after="0"/>
        <w:ind w:left="360" w:hanging="360"/>
      </w:pPr>
      <w:r>
        <w:t>피벗 필터에서 화면에 노출되지 않는 데이터 유형 서술 조정 — 피벗 문서 업데이트</w:t>
      </w:r>
    </w:p>
    <w:p>
      <w:pPr>
        <w:numPr>
          <w:numId w:val="8"/>
        </w:numPr>
        <w:spacing w:before="0" w:after="0"/>
        <w:ind w:left="360" w:hanging="360"/>
      </w:pPr>
      <w:r>
        <w:t>system-table-partitions 사용법을 table 옵션 기준으로 정정하고, 이름이 변경된 명령어의 링크 텍스트 정정 — 테이블 문서 업데이트</w:t>
      </w:r>
    </w:p>
    <w:p>
      <w:pPr>
        <w:numPr>
          <w:numId w:val="8"/>
        </w:numPr>
        <w:spacing w:before="0" w:after="0"/>
        <w:ind w:left="360" w:hanging="360"/>
      </w:pPr>
      <w:r>
        <w:t>인라인 이미지 뒤에 오는 조사를 alt 문구에 맞게 정정하고, 숫자 범위 표기를 하이픈으로 통일</w:t>
      </w:r>
    </w:p>
    <w:p>
      <w:r>
        <w:rPr>
          <w:b w:val="on"/>
        </w:rPr>
        <w:t>영어 문서 보강</w:t>
      </w:r>
    </w:p>
    <w:p>
      <w:pPr>
        <w:numPr>
          <w:numId w:val="9"/>
        </w:numPr>
        <w:spacing w:before="0" w:after="0"/>
        <w:ind w:left="360" w:hanging="360"/>
      </w:pPr>
      <w:r>
        <w:t>한국어 정본과 대조해 영어 문서의 메뉴 이름·레이블을 웹 콘솔 i18n 실값으로 정정하고 표의 컬럼 정렬 정비</w:t>
      </w:r>
    </w:p>
    <w:p>
      <w:pPr>
        <w:numPr>
          <w:numId w:val="9"/>
        </w:numPr>
        <w:spacing w:before="0" w:after="0"/>
        <w:ind w:left="360" w:hanging="360"/>
      </w:pPr>
      <w:r>
        <w:t>2609.0 변경 사항을 영어 문서에 반영하고, 한국어로 남아 있던 이미지 alt 문구를 영어로 교체</w:t>
      </w:r>
    </w:p>
    <w:p>
      <w:pPr>
        <w:numPr>
          <w:numId w:val="9"/>
        </w:numPr>
        <w:spacing w:before="0" w:after="0"/>
        <w:ind w:left="360" w:hanging="360"/>
      </w:pPr>
      <w:r>
        <w:t>위젯 문서의 파일 이름을 한국어 문서와 같은 이름으로 변경해 언어 전환 링크 일치</w:t>
      </w:r>
    </w:p>
    <w:p>
      <w:pPr>
        <w:pStyle w:val="3"/>
      </w:pPr>
      <w:r>
        <w:t>2607.2 — 소나 4.0.2511.3 기준</w:t>
      </w:r>
    </w:p>
    <w:p>
      <w:r>
        <w:rPr>
          <w:b w:val="on"/>
        </w:rPr>
        <w:t>기능 반영 및 정정</w:t>
      </w:r>
    </w:p>
    <w:p>
      <w:pPr>
        <w:numPr>
          <w:numId w:val="10"/>
        </w:numPr>
        <w:spacing w:before="0" w:after="0"/>
        <w:ind w:left="360" w:hanging="360"/>
      </w:pPr>
      <w:r>
        <w:t>관리자가 전역 옵션으로 구성하는 암호 정책(최소·최대 길이, 복잡도, 동일 문자 연속 사용 제한)과 미설정 시 적용되는 기본 규칙, 셸 설정 방법 반영 (</w:t>
      </w:r>
      <w:hyperlink r:id="rId20">
        <w:r>
          <w:rPr>
            <w:rStyle w:val="a6"/>
          </w:rPr>
          <w:t>SNR#3212</w:t>
        </w:r>
      </w:hyperlink>
      <w:r>
        <w:t>) — 계정 문서 업데이트</w:t>
      </w:r>
    </w:p>
    <w:p>
      <w:pPr>
        <w:numPr>
          <w:numId w:val="10"/>
        </w:numPr>
        <w:spacing w:before="0" w:after="0"/>
        <w:ind w:left="360" w:hanging="360"/>
      </w:pPr>
      <w:r>
        <w:t>인증서 재발급 시 암호 요건(길이·복잡도) 명시 (</w:t>
      </w:r>
      <w:hyperlink r:id="rId21">
        <w:r>
          <w:rPr>
            <w:rStyle w:val="a6"/>
          </w:rPr>
          <w:t>SNR#3212</w:t>
        </w:r>
      </w:hyperlink>
      <w:r>
        <w:t>) — 인증서 문서 업데이트</w:t>
      </w:r>
    </w:p>
    <w:p>
      <w:pPr>
        <w:numPr>
          <w:numId w:val="10"/>
        </w:numPr>
        <w:spacing w:before="0" w:after="0"/>
        <w:ind w:left="360" w:hanging="360"/>
      </w:pPr>
      <w:r>
        <w:t>영어 문서의 CA 인증서 재발급 기본 만료 기한을 소스 기준인 10950일(30년)로 정정하고, 범위 표기를 하이픈으로 정규화 — 인증서 문서 업데이트</w:t>
      </w:r>
    </w:p>
    <w:p>
      <w:pPr>
        <w:pStyle w:val="3"/>
      </w:pPr>
      <w:r>
        <w:t>2607.1 — 소나 4.0.2511.3 기준</w:t>
      </w:r>
    </w:p>
    <w:p>
      <w:r>
        <w:rPr>
          <w:b w:val="on"/>
        </w:rPr>
        <w:t>정정</w:t>
      </w:r>
    </w:p>
    <w:p>
      <w:pPr>
        <w:numPr>
          <w:numId w:val="11"/>
        </w:numPr>
        <w:spacing w:before="0" w:after="0"/>
        <w:ind w:left="360" w:hanging="360"/>
      </w:pPr>
      <w:r>
        <w:t>문서 내부 링크가 가리키는 북마크(outline) 번호 정정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https://docs.logpresso.comnull" TargetMode="External" Type="http://schemas.openxmlformats.org/officeDocument/2006/relationships/hyperlink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