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데이터 유형 선택 결과</w:t>
      </w:r>
    </w:p>
    <w:p>
      <w:r>
        <w:t xml:space="preserve">데이터 유형 및 조회 대상 선택 후 </w:t>
      </w:r>
      <w:r>
        <w:rPr>
          <w:rStyle w:val="af4"/>
        </w:rPr>
        <w:t>적용</w:t>
      </w:r>
      <w:r>
        <w:t xml:space="preserve"> 버튼을 클릭하면, 해당 데이터 유형, 조회 범위, 필드 목록에 일치하는 데이터가 조회됩니다. 왼쪽 위 조회대상 항목에서 </w:t>
      </w:r>
      <w:r>
        <w:rPr>
          <w:rStyle w:val="af4"/>
        </w:rPr>
        <w:t>i</w:t>
      </w:r>
      <w:r>
        <w:t xml:space="preserve"> 버튼(1)을 클릭하면 조회 시 사용한 쿼리문을 볼 수 있습니다. </w:t>
      </w:r>
      <w:r>
        <w:rPr>
          <w:rStyle w:val="af4"/>
        </w:rPr>
        <w:t>편집</w:t>
      </w:r>
      <w:r>
        <w:t xml:space="preserve"> 버튼(2)을 클릭하면 데이터 유형 및 조회 조건을 편집할 수 있습니다.</w:t>
      </w:r>
    </w:p>
    <w:p>
      <w:r>
        <w:t>결과 제한 필터가 설정되어 있으므로 초기 조회 시 최대 1만건이 조회됩니다.</w:t>
      </w:r>
    </w:p>
    <w:p>
      <w:r>
        <w:drawing>
          <wp:inline distT="0" distR="0" distB="0" distL="0">
            <wp:extent cx="5715000" cy="2679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