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티켓 사고 여부 설정</w:t>
      </w:r>
    </w:p>
    <w:p>
      <w:r>
        <w:t>티켓의 사고 여부를 설정합니다. 실질적인 침해 및 유출 발생 여부를 의미합니다.</w:t>
      </w:r>
    </w:p>
    <w:p>
      <w:r>
        <w:drawing>
          <wp:inline distT="0" distR="0" distB="0" distL="0">
            <wp:extent cx="3568700" cy="5816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티켓 사고 여부 설정 명령의 입력 매개 변수는 다음과 같습니다.</w:t>
      </w:r>
    </w:p>
    <w:p>
      <w:r>
        <w:rPr>
          <w:b w:val="on"/>
        </w:rPr>
        <w:t>티켓 GUID (필수)</w:t>
      </w:r>
    </w:p>
    <w:p>
      <w:pPr>
        <w:ind w:left="400"/>
      </w:pPr>
      <w:r>
        <w:t>사고 여부를 설정할 티켓의 GUID를 지정합니다. 이전 작업의 매개변수 중에서 선택하거나 문자열로 티켓의 GUID를 입력합니다.</w:t>
      </w:r>
    </w:p>
    <w:p>
      <w:r>
        <w:rPr>
          <w:b w:val="on"/>
        </w:rPr>
        <w:t>사고 여부 (필수)</w:t>
      </w:r>
    </w:p>
    <w:p>
      <w:pPr>
        <w:ind w:left="400"/>
      </w:pPr>
      <w:r>
        <w:t>티켓의 사고 여부를 지정합니다. 이전 작업의 매개 변수 중에서 선택하거나 문자열로 true/false 중 하나를 입력합니다.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