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티켓 중요도 설정</w:t>
      </w:r>
    </w:p>
    <w:p>
      <w:r>
        <w:t>티켓 중요도를 설정합니다.</w:t>
      </w:r>
    </w:p>
    <w:p>
      <w:r>
        <w:drawing>
          <wp:inline distT="0" distR="0" distB="0" distL="0">
            <wp:extent cx="3568700" cy="5842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 중요도 설정 명령의 입력 매개변수는 다음과 같습니다.</w:t>
      </w:r>
    </w:p>
    <w:p>
      <w:r>
        <w:rPr>
          <w:b w:val="on"/>
        </w:rPr>
        <w:t>티켓 GUID (필수)</w:t>
      </w:r>
    </w:p>
    <w:p>
      <w:pPr>
        <w:ind w:left="400"/>
      </w:pPr>
      <w:r>
        <w:t>정오탐 여부를 설정할 티켓의 GUID를 지정합니다. 이전 작업의 매개변수 중에서 선택하거나 문자열로 티켓의 GUID를 입력합니다.</w:t>
      </w:r>
    </w:p>
    <w:p>
      <w:r>
        <w:rPr>
          <w:b w:val="on"/>
        </w:rPr>
        <w:t>중요도 (필수)</w:t>
      </w:r>
    </w:p>
    <w:p>
      <w:pPr>
        <w:ind w:left="400"/>
      </w:pPr>
      <w:r>
        <w:t xml:space="preserve">새 티켓 중요도를 지정합니다. 이전 작업의 매개변수 중에서 선택하거나 문자열로 </w:t>
      </w:r>
      <w:r>
        <w:rPr>
          <w:rStyle w:val="af4"/>
        </w:rPr>
        <w:t>HIGH</w:t>
      </w:r>
      <w:r>
        <w:t xml:space="preserve"> (상), </w:t>
      </w:r>
      <w:r>
        <w:rPr>
          <w:rStyle w:val="af4"/>
        </w:rPr>
        <w:t>MEDIUM</w:t>
      </w:r>
      <w:r>
        <w:t xml:space="preserve"> (중), </w:t>
      </w:r>
      <w:r>
        <w:rPr>
          <w:rStyle w:val="af4"/>
        </w:rPr>
        <w:t>LOW</w:t>
      </w:r>
      <w:r>
        <w:t xml:space="preserve"> (하) 중 하나를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