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티켓 상태 설정</w:t>
      </w:r>
    </w:p>
    <w:p>
      <w:r>
        <w:t>티켓 상태를 설정합니다.</w:t>
      </w:r>
    </w:p>
    <w:p>
      <w:r>
        <w:drawing>
          <wp:inline distT="0" distR="0" distB="0" distL="0">
            <wp:extent cx="3556000" cy="5816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티켓 상태 설정 명령의 입력 매개 변수는 다음과 같습니다.</w:t>
      </w:r>
    </w:p>
    <w:p>
      <w:r>
        <w:rPr>
          <w:b w:val="on"/>
        </w:rPr>
        <w:t>티켓 GUID (필수)</w:t>
      </w:r>
    </w:p>
    <w:p>
      <w:pPr>
        <w:ind w:left="400"/>
      </w:pPr>
      <w:r>
        <w:t>상태를 설정할 티켓의 GUID를 입력합니다. 이전 작업의 매개변수 중에서 선택하거나 문자열로 티켓의 GUID를 입력합니다.</w:t>
      </w:r>
    </w:p>
    <w:p>
      <w:r>
        <w:rPr>
          <w:b w:val="on"/>
        </w:rPr>
        <w:t>티켓 상태 (필수)</w:t>
      </w:r>
    </w:p>
    <w:p>
      <w:pPr>
        <w:ind w:left="400"/>
      </w:pPr>
      <w:r>
        <w:t xml:space="preserve">새 티켓 상태를 입력합니다. 이전 작업의 매개변수 중에서 선택하거나 문자열로 </w:t>
      </w:r>
      <w:r>
        <w:rPr>
          <w:rStyle w:val="af4"/>
        </w:rPr>
        <w:t>APPROVED</w:t>
      </w:r>
      <w:r>
        <w:t xml:space="preserve"> (승인), </w:t>
      </w:r>
      <w:r>
        <w:rPr>
          <w:rStyle w:val="af4"/>
        </w:rPr>
        <w:t>SUBMITTED</w:t>
      </w:r>
      <w:r>
        <w:t xml:space="preserve"> (상신), </w:t>
      </w:r>
      <w:r>
        <w:rPr>
          <w:rStyle w:val="af4"/>
        </w:rPr>
        <w:t>REJECTED</w:t>
      </w:r>
      <w:r>
        <w:t xml:space="preserve"> (반려), </w:t>
      </w:r>
      <w:r>
        <w:rPr>
          <w:rStyle w:val="af4"/>
        </w:rPr>
        <w:t>CLOSED</w:t>
      </w:r>
      <w:r>
        <w:t xml:space="preserve"> (완료) 중 하나를 입력합니다.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