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수집 설정 삭제</w:t>
      </w:r>
    </w:p>
    <w:p>
      <w:r>
        <w:t xml:space="preserve">수집기 목록에서 체크박스를 선택하고 상단의 </w:t>
      </w:r>
      <w:r>
        <w:rPr>
          <w:rStyle w:val="af4"/>
        </w:rPr>
        <w:t>삭제</w:t>
      </w:r>
      <w:r>
        <w:t xml:space="preserve"> 버튼을 클릭하면, 수집기 삭제 여부를 다시 확인합니다. 대화상자에서 </w:t>
      </w:r>
      <w:r>
        <w:rPr>
          <w:rStyle w:val="af4"/>
        </w:rPr>
        <w:t>삭제</w:t>
      </w:r>
      <w:r>
        <w:t xml:space="preserve"> 버튼을 누르면 해당 수집기가 삭제됩니다. 실시간 탐지 시나리오에서 참조하던 수집기는 자동으로 연결이 삭제됩니다.</w:t>
      </w:r>
    </w:p>
    <w:p>
      <w:r>
        <w:drawing>
          <wp:inline distT="0" distR="0" distB="0" distL="0">
            <wp:extent cx="5715000" cy="2032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