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암호화 프로파일 삭제</w:t>
      </w:r>
    </w:p>
    <w:p>
      <w:r>
        <w:t xml:space="preserve">목록에서 암호화 프로파일을 선택하고 </w:t>
      </w:r>
      <w:r>
        <w:rPr>
          <w:rStyle w:val="af4"/>
        </w:rPr>
        <w:t>삭제</w:t>
      </w:r>
      <w:r>
        <w:t xml:space="preserve"> 버튼을 클릭하면 해당 암호화 프로파일 삭제 여부를 다시 확인합니다. 대화상자에서 </w:t>
      </w:r>
      <w:r>
        <w:rPr>
          <w:rStyle w:val="af4"/>
        </w:rPr>
        <w:t>삭제</w:t>
      </w:r>
      <w:r>
        <w:t xml:space="preserve"> 버튼을 누르면 암호화 프로파일을 삭제합니다. 이 암호화 프로파일을 사용하는 테이블이 존재하는 경우에는 삭제할 수 없습니다.</w:t>
      </w:r>
    </w:p>
    <w:p>
      <w:r>
        <w:drawing>
          <wp:inline distT="0" distR="0" distB="0" distL="0">
            <wp:extent cx="5715000" cy="204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