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정규화 파서 삭제</w:t>
      </w:r>
    </w:p>
    <w:p>
      <w:r>
        <w:t>파서 목록에서 삭제할 파서를 체크한 후 삭제 버튼을 클릭하면 파서를 삭제할 수 있습니다. 내장 파서는 삭제할 수 없습니다.</w:t>
      </w:r>
    </w:p>
    <w:p>
      <w:r>
        <w:drawing>
          <wp:inline distT="0" distR="0" distB="0" distL="0">
            <wp:extent cx="5715000" cy="347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