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알람 그룹</w:t>
      </w:r>
    </w:p>
    <w:p>
      <w:r>
        <w:t>알람 그룹을 설정하여 이를 탐지 정책에 반영할 수 있도록 지원합니다. 실시간 시나리오 및 배치 시나리오 탐지 설정시 알람 그룹을 설정하여 알람 그룹에 지정된 계정 및 계정 그룹에 대해 매체별 메세지 전송을 지원합니다. 매체의 종류에는 SMS, 이메일, 메신저가 있습니다.</w:t>
      </w:r>
    </w:p>
    <w:p>
      <w:r>
        <w:drawing>
          <wp:inline distT="0" distR="0" distB="0" distL="0">
            <wp:extent cx="5715000" cy="2222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