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그룹</w:t>
      </w:r>
    </w:p>
    <w:p>
      <w:r>
        <w:t>패턴 그룹은 주제별로 패턴을 관리하고, 이를 탐지 정책에 반영할 수 있도록 지원합니다. 예를 들어, IPS 로그의 룰 혹은 시그니처 이름을 대상으로 취약점 스캔을 식별하거나, SQL 인젝션 등 특정 유형의 공격을 그룹화하는 용도로 사용할 수 있습니다.</w:t>
      </w:r>
    </w:p>
    <w:p>
      <w:r>
        <w:drawing>
          <wp:inline distT="0" distR="0" distB="0" distL="0">
            <wp:extent cx="5715000" cy="2159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