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위젯 관리</w:t>
      </w:r>
    </w:p>
    <w:p>
      <w:r>
        <w:t xml:space="preserve">대시보드 </w:t>
      </w:r>
      <w:r>
        <w:rPr>
          <w:rStyle w:val="af4"/>
        </w:rPr>
        <w:t>관리</w:t>
      </w:r>
      <w:r>
        <w:t xml:space="preserve"> 버튼의 컨텍스트 메뉴에서 위젯 관리 항목을 클릭하면 위젯을 생성, 편집, 삭제할 수 있는 관리 화면으로 이동합니다. 현재 사용할 수 있는 위젯 목록을 표시합니다.</w:t>
      </w:r>
    </w:p>
    <w:p>
      <w:r>
        <w:drawing>
          <wp:inline distT="0" distR="0" distB="0" distL="0">
            <wp:extent cx="5715000" cy="26924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