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비활성화</w:t>
      </w:r>
    </w:p>
    <w:p>
      <w:r>
        <w:t>활성화된 ID 공급자를 비활성화하여 로그인 화면 진입점에서 제거합니다. 설정값은 그대로 유지되며, 다시 활성화 API를 호출하면 동일한 설정으로 재활성화됩니다.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/api/sonar/id-providers/:code/disable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https://HOSTNAME/api/sonar/id-providers/saml/disable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code | 문자열 | ID 공급자 식별자 |      |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등록된 설정이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