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설정 명세 조회</w:t>
      </w:r>
    </w:p>
    <w:p>
      <w:r>
        <w:t>지정한 ID 공급자가 정의한 설정 항목의 메타데이터를 조회합니다. 새 SSO 설정을 생성하거나 수정할 때 입력 폼을 구성하기 위한 정보를 제공합니다.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/api/sonar/id-providers/:code/configs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https://HOSTNAME/api/sonar/id-providers/saml/configs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code | 문자열 | ID 공급자 식별자 |      |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"idp_url",</w:t>
        <w:cr/>
      </w:r>
      <w:r>
        <w:t xml:space="preserve">      "display_name": "IdP URL",</w:t>
        <w:cr/>
      </w:r>
      <w:r>
        <w:t xml:space="preserve">      "description": "SAML IdP 엔드포인트",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false,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"display_name": "클라이언트 비밀키",</w:t>
        <w:cr/>
      </w:r>
      <w:r>
        <w:t xml:space="preserve">      "description": "",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true,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(배열): 설정 명세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password</w:t>
      </w:r>
      <w:r>
        <w:t xml:space="preserve"> 등 조회 시 노출되면 안 되는 항목은 </w:t>
      </w:r>
      <w:r>
        <w:rPr>
          <w:rStyle w:val="af4"/>
        </w:rPr>
        <w:t>true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(객체): 기본값.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 xml:space="preserve">인 경우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(객체): </w:t>
      </w:r>
      <w:r>
        <w:rPr>
          <w:rStyle w:val="af4"/>
        </w:rPr>
        <w:t>subtype</w:t>
      </w:r>
      <w:r>
        <w:t xml:space="preserve">이 </w:t>
      </w:r>
      <w:r>
        <w:rPr>
          <w:rStyle w:val="af4"/>
        </w:rPr>
        <w:t>enum</w:t>
      </w:r>
      <w:r>
        <w:t>인 경우 선택 가능한 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(숫자): 최솟값 제약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(숫자): 최댓값 제약</w:t>
      </w:r>
    </w:p>
    <w:p>
      <w:pPr>
        <w:pStyle w:val="4"/>
      </w:pPr>
      <w:r>
        <w:t>오류 응답</w:t>
      </w:r>
    </w:p>
    <w:p>
      <w:pPr>
        <w:pStyle w:val="a7"/>
      </w:pPr>
      <w:r>
        <w:t>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