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일괄 삭제</w:t>
      </w:r>
    </w:p>
    <w:p>
      <w:r>
        <w:t>지정한 사용자 정의 필터를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"https://HOSTNAME/api/sonar/user-defined-filters?guids=a1b2c3d4-e5f6-7890-abcd-ef1234567890"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삭제 대상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r>
        <w:t>성공 시 응답 본문은 비어 있습니다. 일부 GUID가 존재하지 않거나 삭제에 실패해도 200 응답이 반환되며, 별도 실패 목록은 응답에 포함되지 않습니다. 삭제 결과는 감사 로그(</w:t>
      </w:r>
      <w:r>
        <w:rPr>
          <w:rStyle w:val="af4"/>
        </w:rPr>
        <w:t>names</w:t>
      </w:r>
      <w:r>
        <w:t xml:space="preserve"> 항목)에서 확인할 수 있습니다.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