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실행</w:t>
      </w:r>
    </w:p>
    <w:p>
      <w:r>
        <w:t>지정한 배치 탐지 시나리오를 즉시 실행합니다. 시스템은 배치 탐지 시나리오 쿼리를 비동기적으로 실행하므로 쿼리 완료를 대기하지 않고 응답합니다. 아래의 경우에는 실행하더라도 이벤트나 티켓이 발생하지 않습니다:</w:t>
      </w:r>
    </w:p>
    <w:p>
      <w:pPr>
        <w:numPr>
          <w:numId w:val="6"/>
        </w:numPr>
        <w:spacing w:before="0" w:after="0"/>
        <w:ind w:left="360" w:hanging="360"/>
      </w:pPr>
      <w:r>
        <w:t>배치 시나리오가 비활성화된 경우</w:t>
      </w:r>
    </w:p>
    <w:p>
      <w:pPr>
        <w:numPr>
          <w:numId w:val="6"/>
        </w:numPr>
        <w:spacing w:before="0" w:after="0"/>
        <w:ind w:left="360" w:hanging="360"/>
      </w:pPr>
      <w:r>
        <w:t>쿼리 실행 중에 배치 시나리오가 삭제된 경우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/api/sonar/batch-rules/:guid/run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https://HOSTNAME/api/sonar/batch-rules/c4ca4744-f310-4480-baa8-0548067abfb3/run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