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설정</w:t>
      </w:r>
    </w:p>
    <w:p>
      <w:r>
        <w:t>모든 수집 설정은 로그프레소 클라우드 또는 로그프레소 소나의 웹 관리 콘솔에서 관리할 수 있습니다.</w:t>
      </w:r>
    </w:p>
    <w:p>
      <w:r>
        <w:t xml:space="preserve">웹 관리 콘솔에서 수집기를 추가할 때 </w:t>
      </w:r>
      <w:r>
        <w:rPr>
          <w:rStyle w:val="af4"/>
        </w:rPr>
        <w:t>수집 위치</w:t>
      </w:r>
      <w:r>
        <w:t xml:space="preserve">를 새로 추가한 전달 노드로 지정하면 전달 노드를 통해 데이터를 수집할 수 있습니다. UI 매뉴얼의 </w:t>
      </w:r>
      <w:hyperlink r:id="rId10">
        <w:r>
          <w:rPr>
            <w:rStyle w:val="a6"/>
          </w:rPr>
          <w:t>수집기 공통 설정</w:t>
        </w:r>
      </w:hyperlink>
      <w:r>
        <w:t xml:space="preserve"> 항목을 참조하세요.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