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시작하기 전에</w:t>
      </w:r>
    </w:p>
    <w:p>
      <w:r>
        <w:rPr>
          <w:b w:val="on"/>
        </w:rPr>
        <w:t>문서 버전:</w:t>
      </w:r>
      <w:r>
        <w:t xml:space="preserve"> 2607.0</w:t>
      </w:r>
    </w:p>
    <w:p>
      <w:r>
        <w:rPr>
          <w:b w:val="on"/>
        </w:rPr>
        <w:t>제품 버전:</w:t>
      </w:r>
      <w:r>
        <w:t xml:space="preserve"> 5.0.2605.1</w:t>
      </w:r>
    </w:p>
    <w:p>
      <w:r>
        <w:t xml:space="preserve">버전별 변경 이력은 </w:t>
      </w:r>
      <w:hyperlink r:id="rId10">
        <w:r>
          <w:rPr>
            <w:rStyle w:val="a6"/>
          </w:rPr>
          <w:t>문서 변경 이력</w:t>
        </w:r>
      </w:hyperlink>
      <w:r>
        <w:t>을 참고하세요.</w:t>
      </w:r>
    </w:p>
    <w:p>
      <w:pPr>
        <w:pStyle w:val="4"/>
      </w:pPr>
      <w:r>
        <w:t>사전 공지</w:t>
      </w:r>
    </w:p>
    <w:p>
      <w:r>
        <w:t>이 문서는 로그프레소 소나를 설치하고 클러스터를 구성하는 방법을 설명하는 문서입니다. 설치를 시작하기 전에 반드시 이 문서를 읽어보세요.</w:t>
      </w:r>
    </w:p>
    <w:p>
      <w:r>
        <w:t>로그프레소는 제품과 관련된 최신 정보를 정확하게 전달하기 위해 노력하지만 제품 화면이나 명령 실행 결과가 이 문서와 일치하지 않을 수 있습니다. 문서는 있는 그대로 제공됩니다. 문서의 내용에 오류가 있으면 로그프레소에 문의하세요.</w:t>
      </w:r>
    </w:p>
    <w:p>
      <w:pPr>
        <w:pStyle w:val="4"/>
      </w:pPr>
      <w:r>
        <w:t>표기법</w:t>
      </w:r>
    </w:p>
    <w:p>
      <w:r>
        <w:t>이 문서에서 사용자 인터페이스 구성 요소와 명령어, 입력값은 다음과 같이 표기합니다.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표기 형식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의미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레이블</w:t>
            </w:r>
            <w:r>
              <w:t/>
            </w:r>
          </w:p>
        </w:tc>
        <w:tc>
          <w:p>
            <w:pPr>
              <w:spacing w:before="0" w:after="0"/>
            </w:pPr>
            <w:r>
              <w:t>웹 인스톨러나 웹 콘솔 화면에서 식별할 수 있는 구성 요소(화면, 탭, 버튼 등)의 문자열을 표시합니다.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메뉴 1 &gt; 메뉴 2</w:t>
            </w:r>
            <w:r>
              <w:t/>
            </w:r>
          </w:p>
        </w:tc>
        <w:tc>
          <w:p>
            <w:pPr>
              <w:spacing w:before="0" w:after="0"/>
            </w:pPr>
            <w:r>
              <w:t>여러 단계의 메뉴를 거치는 경우, "&gt;"를 사용해 메뉴 경로를 표시합니다.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명령어</w:t>
            </w:r>
            <w:r>
              <w:t xml:space="preserve">, </w:t>
            </w:r>
            <w:r>
              <w:rPr>
                <w:rStyle w:val="af4"/>
              </w:rPr>
              <w:t>파일 경로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 그대로 입력하거나 화면에 표시되는 명령어, 파일 경로, 설정값을 고정폭으로 표기합니다.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IP_ADDR</w:t>
            </w:r>
            <w:r>
              <w:t xml:space="preserve">, </w:t>
            </w:r>
            <w:r>
              <w:rPr>
                <w:rStyle w:val="af4"/>
              </w:rPr>
              <w:t>FQDN</w:t>
            </w:r>
            <w:r>
              <w:t/>
            </w:r>
          </w:p>
        </w:tc>
        <w:tc>
          <w:p>
            <w:pPr>
              <w:spacing w:before="0" w:after="0"/>
            </w:pPr>
            <w:r>
              <w:t>사용자의 환경에 맞춰 입력해야 하는 값을 고정폭 대문자로 표기합니다.</w:t>
            </w:r>
          </w:p>
        </w:tc>
      </w:tr>
    </w:tbl>
    <w:p>
      <w:pPr>
        <w:pStyle w:val="4"/>
      </w:pPr>
      <w:r>
        <w:t>약어 및 용어</w:t>
      </w:r>
    </w:p>
    <w:p>
      <w:r>
        <w:t>이 문서에서 다음과 같은 용어를 사용합니다.</w:t>
      </w:r>
    </w:p>
    <w:p>
      <w:r>
        <w:rPr>
          <w:b w:val="on"/>
        </w:rPr>
        <w:t>분석 노드</w:t>
      </w:r>
    </w:p>
    <w:p>
      <w:pPr>
        <w:ind w:left="400"/>
      </w:pPr>
      <w:r>
        <w:t>웹 콘솔과 분석 기능을 제공하는 노드. 영문 제품 화면·로그에서는 Control Node로 표시됩니다.</w:t>
      </w:r>
    </w:p>
    <w:p>
      <w:r>
        <w:rPr>
          <w:b w:val="on"/>
        </w:rPr>
        <w:t>수집 노드</w:t>
      </w:r>
    </w:p>
    <w:p>
      <w:pPr>
        <w:ind w:left="400"/>
      </w:pPr>
      <w:r>
        <w:t>로그를 수집하고 저장하는 노드. 영문 제품 화면·로그에서는 Data Node로 표시됩니다.</w:t>
      </w:r>
    </w:p>
    <w:p>
      <w:r>
        <w:rPr>
          <w:b w:val="on"/>
        </w:rPr>
        <w:t>전달 노드</w:t>
      </w:r>
    </w:p>
    <w:p>
      <w:pPr>
        <w:ind w:left="400"/>
      </w:pPr>
      <w:r>
        <w:t>원격지의 로그를 수집해 수집 노드로 전달하는 노드. 영문 제품 화면·로그에서는 Forwarder Node로 표시됩니다.</w:t>
      </w:r>
    </w:p>
    <w:p>
      <w:r>
        <w:rPr>
          <w:b w:val="on"/>
        </w:rPr>
        <w:t>노드 페어</w:t>
      </w:r>
    </w:p>
    <w:p>
      <w:pPr>
        <w:ind w:left="400"/>
      </w:pPr>
      <w:r>
        <w:t>고가용성(HA)을 위해 두 노드(노드 A, 노드 B)를 하나로 묶은 구성 단위</w:t>
      </w:r>
    </w:p>
    <w:p>
      <w:r>
        <w:rPr>
          <w:b w:val="on"/>
        </w:rPr>
        <w:t>로그프레소 셸</w:t>
      </w:r>
    </w:p>
    <w:p>
      <w:pPr>
        <w:ind w:left="400"/>
      </w:pPr>
      <w:r>
        <w:t>로그프레소 엔진의 명령줄 인터페이스(CLI). 웹 콘솔 접속 계정과 분리된 계정을 사용합니다.</w:t>
      </w:r>
    </w:p>
    <w:p>
      <w:r>
        <w:rPr>
          <w:b w:val="on"/>
        </w:rPr>
        <w:t>웹 인스톨러</w:t>
      </w:r>
    </w:p>
    <w:p>
      <w:pPr>
        <w:ind w:left="400"/>
      </w:pPr>
      <w:r>
        <w:t>웹 콘솔에 처음 접속할 때 실행되어 서버 운영 환경에 맞는 초기 설정을 진행하는 설치 마법사</w:t>
      </w:r>
    </w:p>
    <w:p>
      <w:r>
        <w:rPr>
          <w:b w:val="on"/>
        </w:rPr>
        <w:t>웹 콘솔</w:t>
      </w:r>
    </w:p>
    <w:p>
      <w:pPr>
        <w:ind w:left="400"/>
      </w:pPr>
      <w:r>
        <w:t>로그프레소 소나가 제공하는 웹 기반 사용자 인터페이스</w:t>
      </w:r>
    </w:p>
    <w:p>
      <w:r>
        <w:rPr>
          <w:b w:val="on"/>
        </w:rPr>
        <w:t>Galera Cluster</w:t>
      </w:r>
    </w:p>
    <w:p>
      <w:pPr>
        <w:ind w:left="400"/>
      </w:pPr>
      <w:r>
        <w:t>MariaDB의 다중 마스터 동기 복제 클러스터. 분석 노드 페어의 데이터베이스 계층 동기화에 사용됩니다.</w:t>
      </w:r>
    </w:p>
    <w:p>
      <w:r>
        <w:rPr>
          <w:b w:val="on"/>
        </w:rPr>
        <w:t>GUID</w:t>
      </w:r>
    </w:p>
    <w:p>
      <w:pPr>
        <w:ind w:left="400"/>
      </w:pPr>
      <w:r>
        <w:t>16진수로 구성되는 고유 ID(Globally Unique Identity)의 약어</w:t>
      </w:r>
    </w:p>
    <w:p>
      <w:r>
        <w:rPr>
          <w:b w:val="on"/>
        </w:rPr>
        <w:t>FQDN</w:t>
      </w:r>
    </w:p>
    <w:p>
      <w:pPr>
        <w:ind w:left="400"/>
      </w:pPr>
      <w:r>
        <w:t>전체 주소 도메인 이름(Fully Qualified Domain Name)</w:t>
      </w:r>
    </w:p>
    <w:p>
      <w:r>
        <w:rPr>
          <w:b w:val="on"/>
        </w:rPr>
        <w:t>VIP</w:t>
      </w:r>
    </w:p>
    <w:p>
      <w:pPr>
        <w:ind w:left="400"/>
      </w:pPr>
      <w:r>
        <w:t>가상 IP 주소(Virtual IP address). 네트워크 이중화 구성에서 노드 페어의 대표 주소로 사용됩니다.</w:t>
      </w:r>
    </w:p>
    <w:p>
      <w:r>
        <w:rPr>
          <w:b w:val="on"/>
        </w:rPr>
        <w:t>HA</w:t>
      </w:r>
    </w:p>
    <w:p>
      <w:pPr>
        <w:ind w:left="400"/>
      </w:pPr>
      <w:r>
        <w:t>고가용성(High Availability)</w:t>
      </w:r>
    </w:p>
    <w:p>
      <w:r>
        <w:rPr>
          <w:b w:val="on"/>
        </w:rPr>
        <w:t>SNR</w:t>
      </w:r>
    </w:p>
    <w:p>
      <w:pPr>
        <w:ind w:left="400"/>
      </w:pPr>
      <w:r>
        <w:t>로그프레소 소나(Logpresso Sonar)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