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SNR#3789 삭제된 사용자가 소유한 리소스 보존 및 권한 이관</w:t>
      </w:r>
    </w:p>
    <w:p>
      <w:r>
        <w:rPr>
          <w:b w:val="on"/>
        </w:rPr>
        <w:t>버전: [5.0.2605.2](../../5.0/releases/5.0.2605.2)</w:t>
      </w:r>
    </w:p>
    <w:p>
      <w:r>
        <w:t>사용자를 삭제할 때 해당 사용자가 소유한 대시보드, 리포트, 탐지 규칙 등 관련 리소스의 소유 관계가 불안정해질 수 있었습니다.</w:t>
      </w:r>
    </w:p>
    <w:p>
      <w:r>
        <w:t>사용자 삭제 과정에서 기존 소유 리소스가 유지되도록 처리하고, 관리자가 보존된 리소스에 접근할 수 있도록 개선했습니다. 계정 생성·수정 화면의 예약 로그인 검증도 동일한 기준으로 정리했습니다. 퇴사자나 불필요한 계정을 정리할 때 운영 리소스가 함께 손상되는 위험을 줄이고, 삭제 이후에도 필요한 리소스를 계속 관리할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