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노드</w:t>
      </w:r>
    </w:p>
    <w:p>
      <w:r>
        <w:t xml:space="preserve">클러스터 및 노드에 대한 개요는 </w:t>
      </w:r>
      <w:hyperlink r:id="rId10">
        <w:r>
          <w:rPr>
            <w:rStyle w:val="a6"/>
          </w:rPr>
          <w:t>이 문서</w:t>
        </w:r>
      </w:hyperlink>
      <w:r>
        <w:t xml:space="preserve">를 참고하세요. </w:t>
      </w:r>
      <w:r>
        <w:rPr>
          <w:b w:val="on"/>
        </w:rPr>
        <w:t>시스템 &gt; 클러스터 &gt; 노드</w:t>
      </w:r>
      <w:r>
        <w:t>에서 로그프레소 클러스터를 구성하는 노드 목록을 조회하거나 클러스터 구성에 필요한 노드를 등록할 수 있습니다. 이어지는 설명에서는 실제 운영 환경에서의 가용성을 고려하여, 개별 노드가 아닌 이중화된 노드 페어를 기준으로 사용 방법을 안내합니다.</w:t>
      </w:r>
    </w:p>
    <w:p>
      <w:pPr>
        <w:pStyle w:val="a7"/>
      </w:pPr>
      <w:r>
        <w:t>노드 페어 검색</w:t>
      </w:r>
    </w:p>
    <w:p>
      <w:r>
        <w:rPr>
          <w:b w:val="on"/>
        </w:rPr>
        <w:t>시스템 &gt; 클러스터 &gt; 노드</w:t>
      </w:r>
      <w:r>
        <w:t>에서 등록된 노드 페어 목록을 조회할 수 있습니다.</w:t>
      </w:r>
    </w:p>
    <w:p>
      <w:r>
        <w:t>노드 페어 목록에서 다음 정보를 확인할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상태</w:t>
      </w:r>
      <w:r>
        <w:t>: 노드 페어의 연결 상태(녹색: 연결됨, 회색: 연결되지 않음)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노드 페어의 고유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유형</w:t>
      </w:r>
      <w:r>
        <w:t>: 노드 페어의 역할(</w:t>
      </w:r>
      <w:r>
        <w:rPr>
          <w:b w:val="on"/>
        </w:rPr>
        <w:t>분석</w:t>
      </w:r>
      <w:r>
        <w:t xml:space="preserve">, </w:t>
      </w:r>
      <w:r>
        <w:rPr>
          <w:b w:val="on"/>
        </w:rPr>
        <w:t>수집</w:t>
      </w:r>
      <w:r>
        <w:t xml:space="preserve">, </w:t>
      </w:r>
      <w:r>
        <w:rPr>
          <w:b w:val="on"/>
        </w:rPr>
        <w:t>전달</w:t>
      </w:r>
      <w:r>
        <w:t xml:space="preserve"> 중 하나)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대표 IP 주소</w:t>
      </w:r>
      <w:r>
        <w:t>: 노드 페어를 구성하는 노드 A와 노드 B가 공유할 가상 IP 주소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노드 ID</w:t>
      </w:r>
      <w:r>
        <w:t>: 노드 A(1행)와 노드 B(2행)의 식별자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노드 주소</w:t>
      </w:r>
      <w:r>
        <w:t>: 노드 A(1행)와 B(2행)의 IP 주소 및 포트 번호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해당 노드 페어에 대한 설명</w:t>
      </w:r>
    </w:p>
    <w:p>
      <w:r>
        <w:t xml:space="preserve">특정 노드 페어를 찾으려면 상단의 검색창을 이용하세요. 입력한 키워드가 </w:t>
      </w:r>
      <w:r>
        <w:rPr>
          <w:b w:val="on"/>
        </w:rPr>
        <w:t>이름</w:t>
      </w:r>
      <w:r>
        <w:t xml:space="preserve"> 또는 </w:t>
      </w:r>
      <w:r>
        <w:rPr>
          <w:b w:val="on"/>
        </w:rPr>
        <w:t>노드 ID</w:t>
      </w:r>
      <w:r>
        <w:t>에 포함된 노드 페어가 검색됩니다. 검색 시 대소문자를 구분하지 않습니다.</w:t>
      </w:r>
    </w:p>
    <w:p>
      <w:pPr>
        <w:pStyle w:val="a7"/>
      </w:pPr>
      <w:r>
        <w:t>노드 페어 목록 다운로드</w:t>
      </w:r>
    </w:p>
    <w:p>
      <w:r>
        <w:t xml:space="preserve">노드 페어 목록을 로컬 PC에 파일로 저장하려면, 목록 상단의 </w:t>
      </w:r>
      <w:r>
        <w:rPr>
          <w:b w:val="on"/>
        </w:rPr>
        <w:t>다운로드</w:t>
      </w:r>
      <w:r>
        <w:t xml:space="preserve"> 버튼을 클릭하세요.</w:t>
      </w:r>
    </w:p>
    <w:p>
      <w:pPr>
        <w:pStyle w:val="a7"/>
      </w:pPr>
      <w:r>
        <w:t>노드 페어 목록 새로 고침</w:t>
      </w:r>
    </w:p>
    <w:p>
      <w:r>
        <w:t xml:space="preserve">노드 페어 목록을 최신 정보로 갱신하려면, 목록 상단의 </w:t>
      </w:r>
      <w:r>
        <w:rPr>
          <w:b w:val="on"/>
        </w:rPr>
        <w:t>새로 고침</w:t>
      </w:r>
      <w:r>
        <w:t xml:space="preserve"> 버튼을 클릭하세요.</w:t>
      </w:r>
    </w:p>
    <w:p>
      <w:pPr>
        <w:pStyle w:val="a7"/>
      </w:pPr>
      <w:r>
        <w:t>노드 페어 추가</w:t>
      </w:r>
    </w:p>
    <w:p>
      <w:r>
        <w:t>노드는 클러스터의 기본 구성 단위이며, 노드 페어는 두 개의 노드로 구성됩니다. 노드 페어에는 1개의 노드만 먼저 등록한 후, 이후에 나머지 노드를 추가할 수도 있습니다.</w:t>
      </w:r>
    </w:p>
    <w:p>
      <w:r>
        <w:t>클러스터에 새 노드 페어를 추가하려면,</w:t>
      </w:r>
    </w:p>
    <w:p>
      <w:r>
        <w:t xml:space="preserve">**시스템 &gt; 클러스터 &gt; 노드(탭)**에서 목록 우측 상단의 </w:t>
      </w:r>
      <w:r>
        <w:rPr>
          <w:b w:val="on"/>
        </w:rPr>
        <w:t>추가</w:t>
      </w:r>
      <w:r>
        <w:t xml:space="preserve"> 버튼을 클릭하세요.</w:t>
      </w:r>
    </w:p>
    <w:p>
      <w:r>
        <w:rPr>
          <w:b w:val="on"/>
        </w:rPr>
        <w:t>노드 추가</w:t>
      </w:r>
      <w:r>
        <w:t xml:space="preserve"> 화면에서 </w:t>
      </w:r>
      <w:r>
        <w:rPr>
          <w:b w:val="on"/>
        </w:rPr>
        <w:t>공통 설정</w:t>
      </w:r>
      <w:r>
        <w:t xml:space="preserve"> 항목을 입력하세요.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유형</w:t>
      </w:r>
      <w:r>
        <w:t>: 노드 페어의 역할(</w:t>
      </w:r>
      <w:r>
        <w:rPr>
          <w:b w:val="on"/>
        </w:rPr>
        <w:t>수집 노드</w:t>
      </w:r>
      <w:r>
        <w:t xml:space="preserve">, </w:t>
      </w:r>
      <w:r>
        <w:rPr>
          <w:b w:val="on"/>
        </w:rPr>
        <w:t>분석 노드</w:t>
      </w:r>
      <w:r>
        <w:t xml:space="preserve">, </w:t>
      </w:r>
      <w:r>
        <w:rPr>
          <w:b w:val="on"/>
        </w:rPr>
        <w:t>전달 서버</w:t>
      </w:r>
      <w:r>
        <w:t xml:space="preserve"> 중 하나)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이름</w:t>
      </w:r>
      <w:r>
        <w:t>: 노드 페어를 식별하는 고유한 이름(최대 50자). 로그프레소 쿼리에서 사용되므로 간결한 이름을 권장합니다.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설명</w:t>
      </w:r>
      <w:r>
        <w:t>: 노드 페어에 대한 설명(최대 2,000자)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TLS</w:t>
      </w:r>
      <w:r>
        <w:t>: 노드 간 REST API 통신에 TLS 적용 여부(기본값: 사용)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인증서 검증</w:t>
      </w:r>
      <w:r>
        <w:t>: TLS 인증서의 유효성 검사 여부(기본값: 사용 안 함). 로그프레소 소나의 사설 인증서를 사용할 경우 이 옵션을 해제하세요.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접속 타임아웃</w:t>
      </w:r>
      <w:r>
        <w:t>: 클라이언트가 노드에 연결을 시도할 때의 최대 대기 시간(기본값: 10,000 밀리초).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읽기 타임아웃</w:t>
      </w:r>
      <w:r>
        <w:t>: 노드가 응답을 반환할 때까지 기다리는 최대 시간(기본값: 10,000 밀리초). 노드는 연결 상태를 확인하기 위해 2초마다 heartbeat 패킷을 전송합니다. 네트워크 통신 지연과 GC(Garbage Collection)로 인한 일시적 응답 지연이 발생할 수 있으므로, 타임아웃 값은 이를 고려하여 설정해야 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고가용성 구성</w:t>
      </w:r>
      <w:r>
        <w:t xml:space="preserve">: 노드 이중화 여부(기본값: 사용 안 함). 이 옵션을 선택해야 </w:t>
      </w:r>
      <w:r>
        <w:rPr>
          <w:b w:val="on"/>
        </w:rPr>
        <w:t>대표 IP</w:t>
      </w:r>
      <w:r>
        <w:t xml:space="preserve">와 </w:t>
      </w:r>
      <w:r>
        <w:rPr>
          <w:b w:val="on"/>
        </w:rPr>
        <w:t>노드 B</w:t>
      </w:r>
      <w:r>
        <w:t>를 설정할 수 있습니다.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대표 IP</w:t>
      </w:r>
      <w:r>
        <w:t>: 노드 A와 B가 공유할 대표 IP 주소 및 포트. 분석 노드는 포트 443, 전달 노드는 포트 8443을 입력하세요.</w:t>
      </w:r>
    </w:p>
    <w:p>
      <w:pPr>
        <w:pStyle w:val="af1"/>
      </w:pPr>
      <w:r>
        <w:t>대표 IP는 노드 A, 노드 B의 IP 주소와 겹치면 안됩니다. 두 노드가 공유해서 사용할 IP 주소를 입력하세요.</w:t>
      </w:r>
    </w:p>
    <w:p>
      <w:r>
        <w:rPr>
          <w:b w:val="on"/>
        </w:rPr>
        <w:t>노드 A 설정</w:t>
      </w:r>
      <w:r>
        <w:t xml:space="preserve">, </w:t>
      </w:r>
      <w:r>
        <w:rPr>
          <w:b w:val="on"/>
        </w:rPr>
        <w:t>노드 B 설정</w:t>
      </w:r>
      <w:r>
        <w:t xml:space="preserve"> 항목에 필요한 정보를 입력합니다. </w:t>
      </w:r>
      <w:r>
        <w:rPr>
          <w:b w:val="on"/>
        </w:rPr>
        <w:t>노드 B 설정</w:t>
      </w:r>
      <w:r>
        <w:t xml:space="preserve">은 </w:t>
      </w:r>
      <w:r>
        <w:rPr>
          <w:b w:val="on"/>
        </w:rPr>
        <w:t>공통 설정</w:t>
      </w:r>
      <w:r>
        <w:t xml:space="preserve">에서 </w:t>
      </w:r>
      <w:r>
        <w:rPr>
          <w:b w:val="on"/>
        </w:rPr>
        <w:t>고가용성 구성</w:t>
      </w:r>
      <w:r>
        <w:t xml:space="preserve">을 </w:t>
      </w:r>
      <w:r>
        <w:rPr>
          <w:b w:val="on"/>
        </w:rPr>
        <w:t>사용</w:t>
      </w:r>
      <w:r>
        <w:t>으로 설정해야 입력할 수 있습니다.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GUID</w:t>
      </w:r>
      <w:r>
        <w:t>: 자동으로 생성되는 노드의 GUID. 노드를 추가하는 단계에서는 표시되지 않으며, 추가 완료 후 확인할 수 있습니다.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노드 ID</w:t>
      </w:r>
      <w:r>
        <w:t>: 노드의 고유 식별자. 영문과 숫자로 구성되며, 클러스터 전체에서 유일해야 합니다.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주소</w:t>
      </w:r>
      <w:r>
        <w:t>: 노드의 실제 IP 또는 도메인 주소와 통신 포트 (기본값: 443). 분석 노드는 포트 443, 수집 및 전달 노드는 포트 8443을 입력하세요.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계정</w:t>
      </w:r>
      <w:r>
        <w:t>: 노드 동기화에 사용할 계정 ID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암호</w:t>
      </w:r>
      <w:r>
        <w:t>: 노드 동기화에 사용할 계정의 암호</w:t>
      </w:r>
    </w:p>
    <w:p>
      <w:r>
        <w:t xml:space="preserve">모든 설정을 확인한 후 </w:t>
      </w:r>
      <w:r>
        <w:rPr>
          <w:b w:val="on"/>
        </w:rPr>
        <w:t>확인</w:t>
      </w:r>
      <w:r>
        <w:t xml:space="preserve">을 클릭하면 노드 페어가 등록됩니다. 등록을 취소하려면 </w:t>
      </w:r>
      <w:r>
        <w:rPr>
          <w:b w:val="on"/>
        </w:rPr>
        <w:t>취소</w:t>
      </w:r>
      <w:r>
        <w:t>를 클릭하세요.</w:t>
      </w:r>
    </w:p>
    <w:p>
      <w:pPr>
        <w:pStyle w:val="a7"/>
      </w:pPr>
      <w:r>
        <w:t>노드 페어 수정</w:t>
      </w:r>
    </w:p>
    <w:p>
      <w:r>
        <w:t>노드 페어의 속성을 변경하거나, 노드 A만 등록된 상태에서 노드 B를 추가하거나, 기존에 등록된 노드 B를 삭제하려면,</w:t>
      </w:r>
    </w:p>
    <w:p>
      <w:r>
        <w:t xml:space="preserve">목록에서 수정할 노드 페어의 </w:t>
      </w:r>
      <w:r>
        <w:rPr>
          <w:b w:val="on"/>
        </w:rPr>
        <w:t>이름</w:t>
      </w:r>
      <w:r>
        <w:t>을 클릭하세요.</w:t>
      </w:r>
    </w:p>
    <w:p>
      <w:r>
        <w:rPr>
          <w:b w:val="on"/>
        </w:rPr>
        <w:t>노드 수정</w:t>
      </w:r>
      <w:r>
        <w:t xml:space="preserve"> 화면에서 필요한 항목을 변경합니다.</w:t>
      </w:r>
    </w:p>
    <w:p>
      <w:pPr>
        <w:numPr>
          <w:numId w:val="11"/>
        </w:numPr>
        <w:spacing w:before="0" w:after="0"/>
        <w:ind w:left="360" w:hanging="360"/>
      </w:pPr>
      <w:r>
        <w:t xml:space="preserve">노드 페어의 </w:t>
      </w:r>
      <w:r>
        <w:rPr>
          <w:b w:val="on"/>
        </w:rPr>
        <w:t>유형</w:t>
      </w:r>
      <w:r>
        <w:t xml:space="preserve">, 노드 A와 노드 B의 </w:t>
      </w:r>
      <w:r>
        <w:rPr>
          <w:b w:val="on"/>
        </w:rPr>
        <w:t>GUID</w:t>
      </w:r>
      <w:r>
        <w:t xml:space="preserve">, </w:t>
      </w:r>
      <w:r>
        <w:rPr>
          <w:b w:val="on"/>
        </w:rPr>
        <w:t>노드 ID</w:t>
      </w:r>
      <w:r>
        <w:t>는 수정할 수 없습니다.</w:t>
      </w:r>
    </w:p>
    <w:p>
      <w:pPr>
        <w:numPr>
          <w:numId w:val="11"/>
        </w:numPr>
        <w:spacing w:before="0" w:after="0"/>
        <w:ind w:left="360" w:hanging="360"/>
      </w:pPr>
      <w:r>
        <w:t xml:space="preserve">노드 B를 사용하지 않으려면 </w:t>
      </w:r>
      <w:r>
        <w:rPr>
          <w:b w:val="on"/>
        </w:rPr>
        <w:t>고가용성 구성</w:t>
      </w:r>
      <w:r>
        <w:t xml:space="preserve"> 옵션을 해제하세요.</w:t>
      </w:r>
    </w:p>
    <w:p>
      <w:r>
        <w:t xml:space="preserve">변경한 설정을 확인한 후 </w:t>
      </w:r>
      <w:r>
        <w:rPr>
          <w:b w:val="on"/>
        </w:rPr>
        <w:t>확인</w:t>
      </w:r>
      <w:r>
        <w:t xml:space="preserve"> 버튼을 클릭하세요. 수정을 취소하려면 </w:t>
      </w:r>
      <w:r>
        <w:rPr>
          <w:b w:val="on"/>
        </w:rPr>
        <w:t>취소</w:t>
      </w:r>
      <w:r>
        <w:t xml:space="preserve"> 버튼을 클릭하세요.</w:t>
      </w:r>
    </w:p>
    <w:p>
      <w:pPr>
        <w:pStyle w:val="a7"/>
      </w:pPr>
      <w:r>
        <w:t>노드 페어 삭제</w:t>
      </w:r>
    </w:p>
    <w:p>
      <w:r>
        <w:t>노드 페어를 삭제하려면,</w:t>
      </w:r>
    </w:p>
    <w:p>
      <w:r>
        <w:t xml:space="preserve">먼저 해당 노드에서 실행 중인 </w:t>
      </w:r>
      <w:hyperlink r:id="rId11">
        <w:r>
          <w:rPr>
            <w:rStyle w:val="a6"/>
          </w:rPr>
          <w:t>수집기</w:t>
        </w:r>
      </w:hyperlink>
      <w:r>
        <w:t>가 있는지 확인하세요. 삭제하려는 노드에 실행 중인 수집기가 있으면, 먼저 해당 수집기를 중지해야 삭제할 수 있습니다.</w:t>
      </w:r>
    </w:p>
    <w:p>
      <w:r>
        <w:t xml:space="preserve">삭제할 노드의 </w:t>
      </w:r>
      <w:r>
        <w:rPr>
          <w:b w:val="on"/>
        </w:rPr>
        <w:t>상태</w:t>
      </w:r>
      <w:r>
        <w:t xml:space="preserve"> 왼쪽에 있는 체크박스를 선택한 후 목록 우측 상단의 </w:t>
      </w:r>
      <w:r>
        <w:rPr>
          <w:b w:val="on"/>
        </w:rPr>
        <w:t>삭제</w:t>
      </w:r>
      <w:r>
        <w:t xml:space="preserve"> 버튼을 클릭하세요.</w:t>
      </w:r>
    </w:p>
    <w:p>
      <w:r>
        <w:rPr>
          <w:b w:val="on"/>
        </w:rPr>
        <w:t>클러스터 노드 삭제</w:t>
      </w:r>
      <w:r>
        <w:t xml:space="preserve"> 대화상자에서 삭제 대상 노드의 이름을 확인한 후 </w:t>
      </w:r>
      <w:r>
        <w:rPr>
          <w:b w:val="on"/>
        </w:rPr>
        <w:t>삭제</w:t>
      </w:r>
      <w:r>
        <w:t xml:space="preserve"> 버튼을 클릭하세요. 삭제를 취소하려면 </w:t>
      </w:r>
      <w:r>
        <w:rPr>
          <w:b w:val="on"/>
        </w:rPr>
        <w:t>취소</w:t>
      </w:r>
      <w:r>
        <w:t xml:space="preserve"> 버튼을 클릭하세요.</w:t>
      </w:r>
    </w:p>
    <w:p>
      <w:pPr>
        <w:pStyle w:val="ae"/>
      </w:pPr>
      <w:r>
        <w:t>노드 페어 삭제는 일반적인 작업이 아닙니다. 운영 환경에서 노드 페어를 삭제해야 하는 경우, 반드시 기술 지원팀에 문의하세요.</w:t>
      </w:r>
    </w:p>
    <w:p>
      <w:pPr>
        <w:pStyle w:val="a7"/>
      </w:pPr>
      <w:r>
        <w:t>스토리지 관리</w:t>
      </w:r>
    </w:p>
    <w:p>
      <w:r>
        <w:t xml:space="preserve">노드의 데이터 저장 디렉터리가 위치한 볼륨의 용량을 주기적으로 점검하고, 설정된 기준에 따라 자동으로 대응할 수 있습니다. 노드 페어를 </w:t>
      </w:r>
      <w:hyperlink r:id="rId12">
        <w:r>
          <w:rPr>
            <w:rStyle w:val="a6"/>
          </w:rPr>
          <w:t>추가</w:t>
        </w:r>
      </w:hyperlink>
      <w:r>
        <w:t xml:space="preserve">하거나 </w:t>
      </w:r>
      <w:hyperlink r:id="rId13">
        <w:r>
          <w:rPr>
            <w:rStyle w:val="a6"/>
          </w:rPr>
          <w:t>수정</w:t>
        </w:r>
      </w:hyperlink>
      <w:r>
        <w:t xml:space="preserve">할 때, </w:t>
      </w:r>
      <w:r>
        <w:rPr>
          <w:b w:val="on"/>
        </w:rPr>
        <w:t>스토리지 관리</w:t>
      </w:r>
      <w:r>
        <w:t xml:space="preserve"> 설정에서 저장 공간 관리 방식과 조건을 지정하세요.</w:t>
      </w:r>
    </w:p>
    <w:p>
      <w:pPr>
        <w:numPr>
          <w:numId w:val="13"/>
        </w:numPr>
        <w:spacing w:before="0" w:after="0"/>
        <w:ind w:left="360" w:hanging="360"/>
      </w:pPr>
      <w:r>
        <w:t>최소 여유 공간을 지정하세요. 여유 공간이 지정한 값보다 부족해지면 설정한 대응 조치를 수행합니다.</w:t>
      </w:r>
    </w:p>
    <w:p>
      <w:pPr>
        <w:numPr>
          <w:numId w:val="14"/>
        </w:numPr>
        <w:spacing w:before="0" w:after="0"/>
        <w:ind w:left="720" w:hanging="360"/>
      </w:pPr>
      <w:r>
        <w:t>최소 여유 공간은 백분율(%) 또는 MB 단위로 지정할 수 있습니다(기본값: 5%).</w:t>
      </w:r>
    </w:p>
    <w:p>
      <w:pPr>
        <w:numPr>
          <w:numId w:val="14"/>
        </w:numPr>
        <w:spacing w:before="0" w:after="0"/>
        <w:ind w:left="720" w:hanging="360"/>
      </w:pPr>
      <w:r>
        <w:t>백분율 기준일 때 기본값은 5%, 유효범위는 1~50%입니다.</w:t>
      </w:r>
    </w:p>
    <w:p>
      <w:pPr>
        <w:numPr>
          <w:numId w:val="14"/>
        </w:numPr>
        <w:spacing w:before="0" w:after="0"/>
        <w:ind w:left="720" w:hanging="360"/>
      </w:pPr>
      <w:r>
        <w:t>MB 단위일 때 기본값은 100MB, 유효범위는 100~9,999,999,999MB입니다.</w:t>
      </w:r>
    </w:p>
    <w:p>
      <w:pPr>
        <w:numPr>
          <w:numId w:val="13"/>
        </w:numPr>
        <w:spacing w:before="0" w:after="0"/>
        <w:ind w:left="360" w:hanging="360"/>
      </w:pPr>
      <w:r>
        <w:t>여유 공간이 부족할 때 수행할 동작을 선택하세요(기본값: 오래된 데이터부터 삭제)</w:t>
      </w:r>
    </w:p>
    <w:p>
      <w:pPr>
        <w:numPr>
          <w:numId w:val="15"/>
        </w:numPr>
        <w:spacing w:before="0" w:after="0"/>
        <w:ind w:left="720" w:hanging="360"/>
      </w:pPr>
      <w:r>
        <w:rPr>
          <w:b w:val="on"/>
        </w:rPr>
        <w:t>오래된 데이터부터 삭제</w:t>
      </w:r>
      <w:r>
        <w:t>(기본값): 여유 공간이 부족할 경우, 가장 오래된 데이터부터 삭제하여 지정된 최소 여유 공간을 확보합니다.</w:t>
      </w:r>
    </w:p>
    <w:p>
      <w:pPr>
        <w:numPr>
          <w:numId w:val="15"/>
        </w:numPr>
        <w:spacing w:before="0" w:after="0"/>
        <w:ind w:left="720" w:hanging="360"/>
      </w:pPr>
      <w:r>
        <w:rPr>
          <w:b w:val="on"/>
        </w:rPr>
        <w:t>수집 중지</w:t>
      </w:r>
      <w:r>
        <w:t>: 여유 공간이 부족할 경우, 데이터 수집을 중지합니다. 이 옵션은 1 티어 또는 2 티어 수집-분석 클러스터 구조에서 사용할 수 있습니다.</w:t>
      </w:r>
    </w:p>
    <w:p>
      <w:pPr>
        <w:pStyle w:val="af1"/>
      </w:pPr>
      <w:r>
        <w:t>스토리지 관리 기능은 데이터 생명주기 정책과 별개로 독립적으로 동작합니다.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  <w:num w:numId="11">
    <w:abstractNumId w:val="0"/>
  </w:num>
  <w:num w:numId="12">
    <w:abstractNumId w:val="2"/>
  </w:num>
  <w:num w:numId="13">
    <w:abstractNumId w:val="0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