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대기</w:t>
      </w:r>
    </w:p>
    <w:p>
      <w:r>
        <w:t>이 작업은 지정된 시간 동안 대기하는 기능을 수행합니다. 여러 작업 흐름이 병렬로 실행되거나, 다른 작업 흐름에 의존성을 갖는 경우, 다른 작업 흐름이 종료될 때까지 대기해야 하는 경우가 있을 때 사용하세요.</w:t>
      </w:r>
    </w:p>
    <w:p>
      <w:r>
        <w:drawing>
          <wp:inline distT="0" distR="0" distB="0" distL="0">
            <wp:extent cx="5715000" cy="110617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106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t xml:space="preserve">명령은 </w:t>
      </w:r>
      <w:r>
        <w:rPr>
          <w:b w:val="on"/>
        </w:rPr>
        <w:t>시간 대기</w:t>
      </w:r>
      <w:r>
        <w:t xml:space="preserve"> 한 가지뿐입니다.</w:t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p>
      <w:r>
        <w:rPr>
          <w:b w:val="on"/>
        </w:rPr>
        <w:t>시간*</w:t>
      </w:r>
    </w:p>
    <w:p>
      <w:pPr>
        <w:ind w:left="400"/>
      </w:pPr>
      <w:r>
        <w:t>대기 시간을 초 단위로 입력하세요.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