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위젯</w:t>
      </w:r>
    </w:p>
    <w:p>
      <w:pPr>
        <w:pStyle w:val="4"/>
      </w:pPr>
      <w:r>
        <w:t>개요</w:t>
      </w:r>
    </w:p>
    <w:p>
      <w:r>
        <w:t>쿼리 위젯은 수집한 로그를 시각화하여 보안관제 담당자가 대시보드에서 이상 지표를 즉시 파악할 수 있도록 합니다. 차트나 그리드를 클릭·드래그하면 다른 위젯에 필터를 전달하거나 연관 쿼리를 실행할 수 있어, 여러 위젯이 연동되는 인터랙티브 대시보드를 구성할 수 있습니다.</w:t>
      </w:r>
    </w:p>
    <w:p>
      <w:r>
        <w:t xml:space="preserve">쿼리 위젯을 편집하려면 관리자 또는 대시보드 관리, 위젯 편집 권한이 있는 계정이 필요합니다. 위젯 조회 권한만 있는 계정은 위젯 설정을 확인할 수 있지만 변경할 수 없습니다. 위젯 편집기는 대시보드의 </w:t>
      </w:r>
      <w:r>
        <w:drawing>
          <wp:inline distT="0" distR="0" distB="0" distL="0">
            <wp:extent cx="228600" cy="22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on"/>
        </w:rPr>
        <w:t>&gt; 위젯 관리</w:t>
      </w:r>
      <w:r>
        <w:t xml:space="preserve">에서 접근합니다. 위젯 생성에 대한 설명은 </w:t>
      </w:r>
      <w:hyperlink r:id="rId11">
        <w:r>
          <w:rPr>
            <w:rStyle w:val="a6"/>
          </w:rPr>
          <w:t>위젯 관리</w:t>
        </w:r>
      </w:hyperlink>
      <w:r>
        <w:t>를 참고하세요.</w:t>
      </w:r>
    </w:p>
    <w:p>
      <w:pPr>
        <w:pStyle w:val="4"/>
      </w:pPr>
      <w:r>
        <w:t>위젯 편집기</w:t>
      </w:r>
    </w:p>
    <w:p>
      <w:r>
        <w:t xml:space="preserve">쿼리 위젯 편집기 화면은 </w:t>
      </w:r>
      <w:r>
        <w:rPr>
          <w:b w:val="on"/>
        </w:rPr>
        <w:t>왼쪽 패널</w:t>
      </w:r>
      <w:r>
        <w:t xml:space="preserve">과 </w:t>
      </w:r>
      <w:r>
        <w:rPr>
          <w:b w:val="on"/>
        </w:rPr>
        <w:t>오른쪽 피벗 테이블 에디터</w:t>
      </w:r>
      <w:r>
        <w:t>로 구성됩니다.</w:t>
      </w:r>
    </w:p>
    <w:p>
      <w:r>
        <w:drawing>
          <wp:inline distT="0" distR="0" distB="0" distL="0">
            <wp:extent cx="5715000" cy="3365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기본 설정</w:t>
      </w:r>
    </w:p>
    <w:p>
      <w:r>
        <w:t>왼쪽 패널에서 위젯의 기본 정보를 설정합니다.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위젯 이름(필수, 최대 50자)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위젯에 대한 설명(최대 2,000자)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실행 주기</w:t>
      </w:r>
      <w:r>
        <w:t>: 위젯 데이터를 자동으로 새로 고치는 주기(초 단위, 필수, 범위: 1~2,147,483)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계정 공유</w:t>
      </w:r>
      <w:r>
        <w:t>: 이 위젯을 공유할 계정을 선택합니다.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그룹 공유</w:t>
      </w:r>
      <w:r>
        <w:t>: 이 위젯을 공유할 계정 그룹을 선택합니다.</w:t>
      </w:r>
    </w:p>
    <w:p>
      <w:pPr>
        <w:pStyle w:val="a7"/>
      </w:pPr>
      <w:r>
        <w:t>데이터 소스 및 시각화</w:t>
      </w:r>
    </w:p>
    <w:p>
      <w:r>
        <w:t xml:space="preserve">오른쪽 피벗 테이블 에디터에서 데이터 소스를 선택하고 시각화 방식을 구성합니다. 피벗 테이블 에디터 사용 방법은 </w:t>
      </w:r>
      <w:hyperlink r:id="rId13">
        <w:r>
          <w:rPr>
            <w:rStyle w:val="a6"/>
          </w:rPr>
          <w:t>피벗</w:t>
        </w:r>
      </w:hyperlink>
      <w:r>
        <w:t>을 참고하세요.</w:t>
      </w:r>
    </w:p>
    <w:p>
      <w:pPr>
        <w:pStyle w:val="a7"/>
      </w:pPr>
      <w:r>
        <w:t>차트 유형</w:t>
      </w:r>
    </w:p>
    <w:p>
      <w:r>
        <w:t xml:space="preserve">피벗 테이블 에디터에서 </w:t>
      </w:r>
      <w:r>
        <w:drawing>
          <wp:inline distT="0" distR="0" distB="0" distL="0">
            <wp:extent cx="228600" cy="22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그리드 보기와 </w:t>
      </w:r>
      <w:r>
        <w:drawing>
          <wp:inline distT="0" distR="0" distB="0" distL="0">
            <wp:extent cx="228600" cy="22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차트 보기를 전환할 수 있습니다. </w:t>
      </w:r>
      <w:hyperlink r:id="rId16">
        <w:r>
          <w:rPr>
            <w:rStyle w:val="a6"/>
          </w:rPr>
          <w:t>그리드</w:t>
        </w:r>
      </w:hyperlink>
      <w:r>
        <w:t>는 쿼리 결과를 표 형태로 표시하며, 차트 보기를 선택하면 차트 설정 모달에서 다음 차트 유형 중 하나를 선택할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라인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꺾은선 그래프</w:t>
            </w:r>
          </w:p>
        </w:tc>
      </w:tr>
      <w:tr>
        <w:tc>
          <w:p>
            <w:pPr>
              <w:spacing w:before="0" w:after="0"/>
            </w:pPr>
            <w:hyperlink r:id="rId18">
              <w:r>
                <w:rPr>
                  <w:rStyle w:val="a6"/>
                </w:rPr>
                <w:t>스플라인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곡선 꺾은선 그래프</w:t>
            </w:r>
          </w:p>
        </w:tc>
      </w:tr>
      <w:tr>
        <w:tc>
          <w:p>
            <w:pPr>
              <w:spacing w:before="0" w:after="0"/>
            </w:pPr>
            <w:hyperlink r:id="rId19">
              <w:r>
                <w:rPr>
                  <w:rStyle w:val="a6"/>
                </w:rPr>
                <w:t>영역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꺾은선 아래 영역을 채운 그래프</w:t>
            </w:r>
          </w:p>
        </w:tc>
      </w:tr>
      <w:tr>
        <w:tc>
          <w:p>
            <w:pPr>
              <w:spacing w:before="0" w:after="0"/>
            </w:pPr>
            <w:hyperlink r:id="rId20">
              <w:r>
                <w:rPr>
                  <w:rStyle w:val="a6"/>
                </w:rPr>
                <w:t>영역(스플라인)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곡선 영역 그래프</w:t>
            </w:r>
          </w:p>
        </w:tc>
      </w:tr>
      <w:tr>
        <w:tc>
          <w:p>
            <w:pPr>
              <w:spacing w:before="0" w:after="0"/>
            </w:pPr>
            <w:hyperlink r:id="rId21">
              <w:r>
                <w:rPr>
                  <w:rStyle w:val="a6"/>
                </w:rPr>
                <w:t>누적 영역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여러 계열을 누적하여 표시하는 영역 그래프</w:t>
            </w:r>
          </w:p>
        </w:tc>
      </w:tr>
      <w:tr>
        <w:tc>
          <w:p>
            <w:pPr>
              <w:spacing w:before="0" w:after="0"/>
            </w:pPr>
            <w:hyperlink r:id="rId22">
              <w:r>
                <w:rPr>
                  <w:rStyle w:val="a6"/>
                </w:rPr>
                <w:t>누적 영역(스플라인)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곡선 누적 영역 그래프</w:t>
            </w:r>
          </w:p>
        </w:tc>
      </w:tr>
      <w:tr>
        <w:tc>
          <w:p>
            <w:pPr>
              <w:spacing w:before="0" w:after="0"/>
            </w:pPr>
            <w:hyperlink r:id="rId23">
              <w:r>
                <w:rPr>
                  <w:rStyle w:val="a6"/>
                </w:rPr>
                <w:t>가로 막대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수평 막대 그래프</w:t>
            </w:r>
          </w:p>
        </w:tc>
      </w:tr>
      <w:tr>
        <w:tc>
          <w:p>
            <w:pPr>
              <w:spacing w:before="0" w:after="0"/>
            </w:pPr>
            <w:hyperlink r:id="rId24">
              <w:r>
                <w:rPr>
                  <w:rStyle w:val="a6"/>
                </w:rPr>
                <w:t>누적 가로 막대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수평 누적 막대 그래프</w:t>
            </w:r>
          </w:p>
        </w:tc>
      </w:tr>
      <w:tr>
        <w:tc>
          <w:p>
            <w:pPr>
              <w:spacing w:before="0" w:after="0"/>
            </w:pPr>
            <w:hyperlink r:id="rId25">
              <w:r>
                <w:rPr>
                  <w:rStyle w:val="a6"/>
                </w:rPr>
                <w:t>세로 막대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수직 막대 그래프</w:t>
            </w:r>
          </w:p>
        </w:tc>
      </w:tr>
      <w:tr>
        <w:tc>
          <w:p>
            <w:pPr>
              <w:spacing w:before="0" w:after="0"/>
            </w:pPr>
            <w:hyperlink r:id="rId26">
              <w:r>
                <w:rPr>
                  <w:rStyle w:val="a6"/>
                </w:rPr>
                <w:t>누적 세로 막대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수직 누적 막대 그래프</w:t>
            </w:r>
          </w:p>
        </w:tc>
      </w:tr>
      <w:tr>
        <w:tc>
          <w:p>
            <w:pPr>
              <w:spacing w:before="0" w:after="0"/>
            </w:pPr>
            <w:hyperlink r:id="rId27">
              <w:r>
                <w:rPr>
                  <w:rStyle w:val="a6"/>
                </w:rPr>
                <w:t>산포도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X·Y 좌표로 데이터 분포를 시각화</w:t>
            </w:r>
          </w:p>
        </w:tc>
      </w:tr>
      <w:tr>
        <w:tc>
          <w:p>
            <w:pPr>
              <w:spacing w:before="0" w:after="0"/>
            </w:pPr>
            <w:hyperlink r:id="rId28">
              <w:r>
                <w:rPr>
                  <w:rStyle w:val="a6"/>
                </w:rPr>
                <w:t>파이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항목별 비율을 원형으로 표시</w:t>
            </w:r>
          </w:p>
        </w:tc>
      </w:tr>
      <w:tr>
        <w:tc>
          <w:p>
            <w:pPr>
              <w:spacing w:before="0" w:after="0"/>
            </w:pPr>
            <w:hyperlink r:id="rId29">
              <w:r>
                <w:rPr>
                  <w:rStyle w:val="a6"/>
                </w:rPr>
                <w:t>트리맵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계층적 데이터를 중첩 직사각형으로 표시</w:t>
            </w:r>
          </w:p>
        </w:tc>
      </w:tr>
      <w:tr>
        <w:tc>
          <w:p>
            <w:pPr>
              <w:spacing w:before="0" w:after="0"/>
            </w:pPr>
            <w:hyperlink r:id="rId30">
              <w:r>
                <w:rPr>
                  <w:rStyle w:val="a6"/>
                </w:rPr>
                <w:t>경고상자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임계치 초과 시 경고 현황 표시</w:t>
            </w:r>
          </w:p>
        </w:tc>
      </w:tr>
      <w:tr>
        <w:tc>
          <w:p>
            <w:pPr>
              <w:spacing w:before="0" w:after="0"/>
            </w:pPr>
            <w:hyperlink r:id="rId31">
              <w:r>
                <w:rPr>
                  <w:rStyle w:val="a6"/>
                </w:rPr>
                <w:t>세계 지도 (마커)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위도/경도 기반 마커를 지도에 표시</w:t>
            </w:r>
          </w:p>
        </w:tc>
      </w:tr>
      <w:tr>
        <w:tc>
          <w:p>
            <w:pPr>
              <w:spacing w:before="0" w:after="0"/>
            </w:pPr>
            <w:hyperlink r:id="rId32">
              <w:r>
                <w:rPr>
                  <w:rStyle w:val="a6"/>
                </w:rPr>
                <w:t>세계 지도 (버블)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국가별 버블 크기로 데이터를 지도에 표시</w:t>
            </w:r>
          </w:p>
        </w:tc>
      </w:tr>
    </w:tbl>
    <w:p>
      <w:pPr>
        <w:pStyle w:val="4"/>
      </w:pPr>
      <w:r>
        <w:t>차트 설정</w:t>
      </w:r>
    </w:p>
    <w:p>
      <w:r>
        <w:t>그리드를 제외한 모든 차트 유형은 차트 설정 모달에서 시각화 옵션을 구성합니다. 차트 설정 모달은 다음 탭으로 구성됩니다.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탭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지원 유형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변수</w:t>
            </w:r>
            <w:r>
              <w:t/>
            </w:r>
          </w:p>
        </w:tc>
        <w:tc>
          <w:p>
            <w:pPr>
              <w:spacing w:before="0" w:after="0"/>
            </w:pPr>
            <w:r>
              <w:t>차트에 사용할 필드(독립 변수, 종속 변수) 설정</w:t>
            </w:r>
          </w:p>
        </w:tc>
        <w:tc>
          <w:p>
            <w:pPr>
              <w:spacing w:before="0" w:after="0"/>
            </w:pPr>
            <w:r>
              <w:t>모든 유형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보기</w:t>
            </w:r>
            <w:r>
              <w:t/>
            </w:r>
          </w:p>
        </w:tc>
        <w:tc>
          <w:p>
            <w:pPr>
              <w:spacing w:before="0" w:after="0"/>
            </w:pPr>
            <w:r>
              <w:t>선택 영역 확대 방향, 빈 값 연결 방식</w:t>
            </w:r>
          </w:p>
        </w:tc>
        <w:tc>
          <w:p>
            <w:pPr>
              <w:spacing w:before="0" w:after="0"/>
            </w:pPr>
            <w:r>
              <w:t>라인 계열, 막대 계열, 산포도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차트 서식</w:t>
            </w:r>
            <w:r>
              <w:t/>
            </w:r>
          </w:p>
        </w:tc>
        <w:tc>
          <w:p>
            <w:pPr>
              <w:spacing w:before="0" w:after="0"/>
            </w:pPr>
            <w:r>
              <w:t>제목, 부제목, 배경색, 테두리</w:t>
            </w:r>
          </w:p>
        </w:tc>
        <w:tc>
          <w:p>
            <w:pPr>
              <w:spacing w:before="0" w:after="0"/>
            </w:pPr>
            <w:r>
              <w:t>모든 유형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축 서식</w:t>
            </w:r>
            <w:r>
              <w:t/>
            </w:r>
          </w:p>
        </w:tc>
        <w:tc>
          <w:p>
            <w:pPr>
              <w:spacing w:before="0" w:after="0"/>
            </w:pPr>
            <w:r>
              <w:t>X/Y 축 제목, 표시 형식, 최솟값/최댓값</w:t>
            </w:r>
          </w:p>
        </w:tc>
        <w:tc>
          <w:p>
            <w:pPr>
              <w:spacing w:before="0" w:after="0"/>
            </w:pPr>
            <w:r>
              <w:t>라인 계열, 막대 계열, 산포도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색상 축</w:t>
            </w:r>
            <w:r>
              <w:t/>
            </w:r>
          </w:p>
        </w:tc>
        <w:tc>
          <w:p>
            <w:pPr>
              <w:spacing w:before="0" w:after="0"/>
            </w:pPr>
            <w:r>
              <w:t>트리맵 색상 범위 설정</w:t>
            </w:r>
          </w:p>
        </w:tc>
        <w:tc>
          <w:p>
            <w:pPr>
              <w:spacing w:before="0" w:after="0"/>
            </w:pPr>
            <w:r>
              <w:t>트리맵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계열 서식</w:t>
            </w:r>
            <w:r>
              <w:t/>
            </w:r>
          </w:p>
        </w:tc>
        <w:tc>
          <w:p>
            <w:pPr>
              <w:spacing w:before="0" w:after="0"/>
            </w:pPr>
            <w:r>
              <w:t>계열 유형, 색상, 마커, 테두리 스타일</w:t>
            </w:r>
          </w:p>
        </w:tc>
        <w:tc>
          <w:p>
            <w:pPr>
              <w:spacing w:before="0" w:after="0"/>
            </w:pPr>
            <w:r>
              <w:t>트리맵을 제외한 모든 유형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레이블</w:t>
            </w:r>
            <w:r>
              <w:t/>
            </w:r>
          </w:p>
        </w:tc>
        <w:tc>
          <w:p>
            <w:pPr>
              <w:spacing w:before="0" w:after="0"/>
            </w:pPr>
            <w:r>
              <w:t>모든 계열에 값 레이블 표시 여부</w:t>
            </w:r>
          </w:p>
        </w:tc>
        <w:tc>
          <w:p>
            <w:pPr>
              <w:spacing w:before="0" w:after="0"/>
            </w:pPr>
            <w:r>
              <w:t>라인 계열, 막대 계열, 산포도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범례</w:t>
            </w:r>
            <w:r>
              <w:t/>
            </w:r>
          </w:p>
        </w:tc>
        <w:tc>
          <w:p>
            <w:pPr>
              <w:spacing w:before="0" w:after="0"/>
            </w:pPr>
            <w:r>
              <w:t>범례 표시 여부, 배치, 위치</w:t>
            </w:r>
          </w:p>
        </w:tc>
        <w:tc>
          <w:p>
            <w:pPr>
              <w:spacing w:before="0" w:after="0"/>
            </w:pPr>
            <w:r>
              <w:t>모든 유형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이벤트</w:t>
            </w:r>
            <w:r>
              <w:t/>
            </w:r>
          </w:p>
        </w:tc>
        <w:tc>
          <w:p>
            <w:pPr>
              <w:spacing w:before="0" w:after="0"/>
            </w:pPr>
            <w:r>
              <w:t>클릭·드래그 이벤트 동작 설정</w:t>
            </w:r>
          </w:p>
        </w:tc>
        <w:tc>
          <w:p>
            <w:pPr>
              <w:spacing w:before="0" w:after="0"/>
            </w:pPr>
            <w:r>
              <w:t>모든 유형</w:t>
            </w:r>
          </w:p>
        </w:tc>
      </w:tr>
    </w:tbl>
    <w:p>
      <w:r>
        <w:t>각 차트 유형별 상세 설정은 해당 차트 유형 페이지를 참고하세요.</w:t>
      </w:r>
    </w:p>
    <w:p>
      <w:pPr>
        <w:pStyle w:val="4"/>
      </w:pPr>
      <w:r>
        <w:t>이벤트 설정</w:t>
      </w:r>
    </w:p>
    <w:p>
      <w:r>
        <w:t>이벤트를 설정하면 사용자가 위젯에서 클릭이나 드래그할 때 대시보드 필터 적용, 쿼리 실행, URL 열기 등의 동작이 자동으로 실행됩니다. 대시보드의 여러 위젯을 연동하거나 원클릭으로 세부 분석 화면으로 이동하는 인터랙티브 대시보드를 구성할 때 활용합니다.</w:t>
      </w:r>
    </w:p>
    <w:p>
      <w:r>
        <w:t xml:space="preserve">이벤트는 차트 설정 모달의 </w:t>
      </w:r>
      <w:r>
        <w:rPr>
          <w:b w:val="on"/>
        </w:rPr>
        <w:t>이벤트</w:t>
      </w:r>
      <w:r>
        <w:t xml:space="preserve"> 탭에서 구성합니다.</w:t>
      </w:r>
    </w:p>
    <w:p>
      <w:r>
        <w:drawing>
          <wp:inline distT="0" distR="0" distB="0" distL="0">
            <wp:extent cx="5715000" cy="31750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이벤트 종류</w:t>
      </w:r>
    </w:p>
    <w:p>
      <w:r>
        <w:rPr>
          <w:b w:val="on"/>
        </w:rPr>
        <w:t>클릭 이벤트</w:t>
      </w:r>
    </w:p>
    <w:p>
      <w:pPr>
        <w:ind w:left="400"/>
      </w:pPr>
      <w:r>
        <w:t xml:space="preserve">사용자가 차트나 그리드의 항목을 클릭할 때 발생합니다. </w:t>
      </w:r>
      <w:r>
        <w:rPr>
          <w:b w:val="on"/>
        </w:rPr>
        <w:t>필터 적용</w:t>
      </w:r>
      <w:r>
        <w:t xml:space="preserve">, </w:t>
      </w:r>
      <w:r>
        <w:rPr>
          <w:b w:val="on"/>
        </w:rPr>
        <w:t>쿼리 실행</w:t>
      </w:r>
      <w:r>
        <w:t xml:space="preserve">, </w:t>
      </w:r>
      <w:r>
        <w:rPr>
          <w:b w:val="on"/>
        </w:rPr>
        <w:t>브라우저 열기</w:t>
      </w:r>
      <w:r>
        <w:t xml:space="preserve">, </w:t>
      </w:r>
      <w:r>
        <w:rPr>
          <w:b w:val="on"/>
        </w:rPr>
        <w:t>화면 전환</w:t>
      </w:r>
      <w:r>
        <w:t xml:space="preserve"> 동작을 모두 사용할 수 있습니다.</w:t>
      </w:r>
    </w:p>
    <w:p>
      <w:r>
        <w:rPr>
          <w:b w:val="on"/>
        </w:rPr>
        <w:t>드래그 이벤트</w:t>
      </w:r>
    </w:p>
    <w:p>
      <w:pPr>
        <w:ind w:left="400"/>
      </w:pPr>
      <w:r>
        <w:t xml:space="preserve">사용자가 차트에서 특정 범위를 드래그할 때 발생합니다. 독립 변수가 시간 타입인 차트에서만 사용할 수 있으며, </w:t>
      </w:r>
      <w:r>
        <w:rPr>
          <w:b w:val="on"/>
        </w:rPr>
        <w:t>필터 적용</w:t>
      </w:r>
      <w:r>
        <w:t xml:space="preserve">과 </w:t>
      </w:r>
      <w:r>
        <w:rPr>
          <w:b w:val="on"/>
        </w:rPr>
        <w:t>쿼리 실행</w:t>
      </w:r>
      <w:r>
        <w:t xml:space="preserve"> 동작만 지원합니다. 드래그 범위의 시작 시각과 종료 시각이 예약어로 제공됩니다.</w:t>
      </w:r>
    </w:p>
    <w:p>
      <w:pPr>
        <w:pStyle w:val="a7"/>
      </w:pPr>
      <w:r>
        <w:t>필터 적용</w:t>
      </w:r>
    </w:p>
    <w:p>
      <w:r>
        <w:t xml:space="preserve">클릭이나 드래그 이벤트 발생 시, 지정한 조건으로 대시보드 필터를 자동으로 추가합니다. </w:t>
      </w:r>
      <w:r>
        <w:rPr>
          <w:b w:val="on"/>
        </w:rPr>
        <w:t>+</w:t>
      </w:r>
      <w:r>
        <w:t xml:space="preserve"> 버튼을 눌러 필터를 추가하고, 같은 동작에 여러 필터를 추가할 수 있습니다.</w:t>
      </w:r>
    </w:p>
    <w:p>
      <w:r>
        <w:drawing>
          <wp:inline distT="0" distR="0" distB="0" distL="0">
            <wp:extent cx="5715000" cy="3784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각 필터 항목은 </w:t>
      </w:r>
      <w:r>
        <w:rPr>
          <w:b w:val="on"/>
        </w:rPr>
        <w:t>범위</w:t>
      </w:r>
      <w:r>
        <w:t xml:space="preserve">, </w:t>
      </w:r>
      <w:r>
        <w:rPr>
          <w:b w:val="on"/>
        </w:rPr>
        <w:t>유형</w:t>
      </w:r>
      <w:r>
        <w:t xml:space="preserve">, </w:t>
      </w:r>
      <w:r>
        <w:rPr>
          <w:b w:val="on"/>
        </w:rPr>
        <w:t>대상 필드/쿼리문</w:t>
      </w:r>
      <w:r>
        <w:t>으로 구성됩니다.</w:t>
      </w:r>
    </w:p>
    <w:p>
      <w:r>
        <w:rPr>
          <w:b w:val="on"/>
        </w:rPr>
        <w:t>범위</w:t>
      </w:r>
    </w:p>
    <w:p>
      <w:pPr>
        <w:ind w:left="400"/>
      </w:pPr>
      <w:r>
        <w:t>필터를 적용할 대상을 지정합니다.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전역</w:t>
      </w:r>
      <w:r>
        <w:t>: 대시보드의 모든 위젯에 적용됩니다.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데이터셋</w:t>
      </w:r>
      <w:r>
        <w:t>: 이 위젯과 동일한 데이터셋을 사용하는 위젯에만 적용됩니다. 데이터셋 기반 위젯에서만 선택할 수 있습니다.</w:t>
      </w:r>
    </w:p>
    <w:p>
      <w:r>
        <w:rPr>
          <w:b w:val="on"/>
        </w:rPr>
        <w:t>유형</w:t>
      </w:r>
    </w:p>
    <w:p>
      <w:pPr>
        <w:ind w:left="400"/>
      </w:pPr>
      <w:r>
        <w:t>필터 조건식의 형식을 지정합니다.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필터</w:t>
      </w:r>
      <w:r>
        <w:t xml:space="preserve">: 대상 필드에 입력한 필드 이름을 기준으로 비교 조건식을 생성합니다. 클릭 이벤트에서는 </w:t>
      </w:r>
      <w:r>
        <w:rPr>
          <w:rStyle w:val="af4"/>
        </w:rPr>
        <w:t>search &lt;필드&gt; == &lt;클릭한 값&gt;</w:t>
      </w:r>
      <w:r>
        <w:t xml:space="preserve"> 형태로, 드래그 이벤트에서는 시간 범위 조건식으로 자동 생성됩니다.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쿼리</w:t>
      </w:r>
      <w:r>
        <w:t>: 쿼리문 입력란에 직접 로그프레소 쿼리 명령어를 입력합니다. 쿼리문에 예약어를 사용하면 실행 시점의 값으로 치환됩니다.</w:t>
      </w:r>
    </w:p>
    <w:p>
      <w:r>
        <w:t>쿼리 유형에서 사용할 수 있는 예약어는 다음과 같습니다.</w:t>
      </w:r>
    </w:p>
    <w:p>
      <w:r>
        <w:t>클릭 이벤트 예약어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예약어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$series$</w:t>
            </w:r>
            <w:r>
              <w:t/>
            </w:r>
          </w:p>
        </w:tc>
        <w:tc>
          <w:p>
            <w:pPr>
              <w:spacing w:before="0" w:after="0"/>
            </w:pPr>
            <w:r>
              <w:t>클릭한 항목의 필드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$필드이름$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해당 이름의 필드에 표시된 값 (예: </w:t>
            </w:r>
            <w:r>
              <w:rPr>
                <w:rStyle w:val="af4"/>
              </w:rPr>
              <w:t>$src_ip$</w:t>
            </w:r>
            <w:r>
              <w:t xml:space="preserve"> → 클릭한 행의 </w:t>
            </w:r>
            <w:r>
              <w:rPr>
                <w:rStyle w:val="af4"/>
              </w:rPr>
              <w:t>src_ip</w:t>
            </w:r>
            <w:r>
              <w:t xml:space="preserve"> 값)</w:t>
            </w:r>
          </w:p>
        </w:tc>
      </w:tr>
    </w:tbl>
    <w:p>
      <w:r>
        <w:t>드래그 이벤트 예약어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예약어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$xfield$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 필드의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$from$</w:t>
            </w:r>
            <w:r>
              <w:t/>
            </w:r>
          </w:p>
        </w:tc>
        <w:tc>
          <w:p>
            <w:pPr>
              <w:spacing w:before="0" w:after="0"/>
            </w:pPr>
            <w:r>
              <w:t>드래그 시작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$to$</w:t>
            </w:r>
            <w:r>
              <w:t/>
            </w:r>
          </w:p>
        </w:tc>
        <w:tc>
          <w:p>
            <w:pPr>
              <w:spacing w:before="0" w:after="0"/>
            </w:pPr>
            <w:r>
              <w:t>드래그 종료 시각</w:t>
            </w:r>
          </w:p>
        </w:tc>
      </w:tr>
    </w:tbl>
    <w:p>
      <w:pPr>
        <w:pStyle w:val="a7"/>
      </w:pPr>
      <w:r>
        <w:t>쿼리 실행</w:t>
      </w:r>
    </w:p>
    <w:p>
      <w:r>
        <w:t xml:space="preserve">클릭이나 드래그 이벤트 발생 시, 새 창에서 지정한 쿼리를 실행합니다. </w:t>
      </w:r>
      <w:r>
        <w:rPr>
          <w:b w:val="on"/>
        </w:rPr>
        <w:t>설정</w:t>
      </w:r>
      <w:r>
        <w:t xml:space="preserve"> 영역에 실행할 로그프레소 쿼리문을 입력합니다.</w:t>
      </w:r>
    </w:p>
    <w:p>
      <w:r>
        <w:drawing>
          <wp:inline distT="0" distR="0" distB="0" distL="0">
            <wp:extent cx="5715000" cy="3175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쿼리문에 예약어를 사용하면 실행 시점의 값으로 치환됩니다.</w:t>
      </w:r>
    </w:p>
    <w:p>
      <w:r>
        <w:t>클릭 이벤트 예약어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예약어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$series$</w:t>
            </w:r>
            <w:r>
              <w:t/>
            </w:r>
          </w:p>
        </w:tc>
        <w:tc>
          <w:p>
            <w:pPr>
              <w:spacing w:before="0" w:after="0"/>
            </w:pPr>
            <w:r>
              <w:t>클릭한 항목의 필드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$필드이름$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해당 이름의 필드에 표시된 값 (예: </w:t>
            </w:r>
            <w:r>
              <w:rPr>
                <w:rStyle w:val="af4"/>
              </w:rPr>
              <w:t>$src_ip$</w:t>
            </w:r>
            <w:r>
              <w:t xml:space="preserve"> → 클릭한 행의 </w:t>
            </w:r>
            <w:r>
              <w:rPr>
                <w:rStyle w:val="af4"/>
              </w:rPr>
              <w:t>src_ip</w:t>
            </w:r>
            <w:r>
              <w:t xml:space="preserve"> 값)</w:t>
            </w:r>
          </w:p>
        </w:tc>
      </w:tr>
    </w:tbl>
    <w:p>
      <w:r>
        <w:t>드래그 이벤트 예약어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예약어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$xfield$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 필드의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$from$</w:t>
            </w:r>
            <w:r>
              <w:t/>
            </w:r>
          </w:p>
        </w:tc>
        <w:tc>
          <w:p>
            <w:pPr>
              <w:spacing w:before="0" w:after="0"/>
            </w:pPr>
            <w:r>
              <w:t>드래그 시작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$to$</w:t>
            </w:r>
            <w:r>
              <w:t/>
            </w:r>
          </w:p>
        </w:tc>
        <w:tc>
          <w:p>
            <w:pPr>
              <w:spacing w:before="0" w:after="0"/>
            </w:pPr>
            <w:r>
              <w:t>드래그 종료 시각</w:t>
            </w:r>
          </w:p>
        </w:tc>
      </w:tr>
    </w:tbl>
    <w:p>
      <w:r>
        <w:t xml:space="preserve">경고상자 위젯에서는 </w:t>
      </w:r>
      <w:r>
        <w:rPr>
          <w:rStyle w:val="af4"/>
        </w:rPr>
        <w:t>$value$</w:t>
      </w:r>
      <w:r>
        <w:t xml:space="preserve">(표시된 값), </w:t>
      </w:r>
      <w:r>
        <w:rPr>
          <w:rStyle w:val="af4"/>
        </w:rPr>
        <w:t>$field$</w:t>
      </w:r>
      <w:r>
        <w:t xml:space="preserve">(필드 이름), </w:t>
      </w:r>
      <w:r>
        <w:rPr>
          <w:rStyle w:val="af4"/>
        </w:rPr>
        <w:t>$threshold$</w:t>
      </w:r>
      <w:r>
        <w:t>(임계치 값) 예약어도 사용할 수 있습니다.</w:t>
      </w:r>
    </w:p>
    <w:p>
      <w:pPr>
        <w:pStyle w:val="a7"/>
      </w:pPr>
      <w:r>
        <w:t>브라우저 열기</w:t>
      </w:r>
    </w:p>
    <w:p>
      <w:r>
        <w:t xml:space="preserve">클릭 이벤트 발생 시, 지정한 필드에 저장된 URL을 새 창에서 엽니다. </w:t>
      </w:r>
      <w:r>
        <w:rPr>
          <w:b w:val="on"/>
        </w:rPr>
        <w:t>URL을 포함한 필드</w:t>
      </w:r>
      <w:r>
        <w:t xml:space="preserve"> 드롭다운에서 URL 값이 저장된 필드를 선택합니다. 클릭 이벤트에서만 사용할 수 있습니다.</w:t>
      </w:r>
    </w:p>
    <w:p>
      <w:pPr>
        <w:pStyle w:val="a7"/>
      </w:pPr>
      <w:r>
        <w:t>화면 전환</w:t>
      </w:r>
    </w:p>
    <w:p>
      <w:r>
        <w:t xml:space="preserve">클릭 이벤트 발생 시, 지정한 URL 경로로 화면을 전환합니다. </w:t>
      </w:r>
      <w:r>
        <w:rPr>
          <w:b w:val="on"/>
        </w:rPr>
        <w:t>화면 전환 URL 설정</w:t>
      </w:r>
      <w:r>
        <w:t xml:space="preserve"> 영역에 이동할 URL을 직접 입력합니다. URL에 예약어를 사용하여 클릭한 항목의 값을 쿼리 파라미터로 전달할 수 있습니다. 클릭 이벤트에서만 사용할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예약어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$필드이름$</w:t>
            </w:r>
            <w:r>
              <w:t/>
            </w:r>
          </w:p>
        </w:tc>
        <w:tc>
          <w:p>
            <w:pPr>
              <w:spacing w:before="0" w:after="0"/>
            </w:pPr>
            <w:r>
              <w:t>차트나 그리드에서 클릭한 항목의 해당 필드 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$series$</w:t>
            </w:r>
            <w:r>
              <w:t/>
            </w:r>
          </w:p>
        </w:tc>
        <w:tc>
          <w:p>
            <w:pPr>
              <w:spacing w:before="0" w:after="0"/>
            </w:pPr>
            <w:r>
              <w:t>클릭한 항목의 필드 이름</w:t>
            </w:r>
          </w:p>
        </w:tc>
      </w:tr>
    </w:tbl>
    <w:p>
      <w:r>
        <w:t xml:space="preserve">경고상자 위젯에서는 </w:t>
      </w:r>
      <w:r>
        <w:rPr>
          <w:rStyle w:val="af4"/>
        </w:rPr>
        <w:t>$value$</w:t>
      </w:r>
      <w:r>
        <w:t xml:space="preserve">(표시된 값), </w:t>
      </w:r>
      <w:r>
        <w:rPr>
          <w:rStyle w:val="af4"/>
        </w:rPr>
        <w:t>$field$</w:t>
      </w:r>
      <w:r>
        <w:t xml:space="preserve">(필드 이름), </w:t>
      </w:r>
      <w:r>
        <w:rPr>
          <w:rStyle w:val="af4"/>
        </w:rPr>
        <w:t>$threshold$</w:t>
      </w:r>
      <w:r>
        <w:t>(임계치 값) 예약어도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media/image2.png" Type="http://schemas.openxmlformats.org/officeDocument/2006/relationships/image"/><Relationship Id="rId13" Target="https://docs.logpresso.comnull" TargetMode="External" Type="http://schemas.openxmlformats.org/officeDocument/2006/relationships/hyperlink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27" Target="https://docs.logpresso.comnull" TargetMode="External" Type="http://schemas.openxmlformats.org/officeDocument/2006/relationships/hyperlink"/><Relationship Id="rId28" Target="https://docs.logpresso.comnull" TargetMode="External" Type="http://schemas.openxmlformats.org/officeDocument/2006/relationships/hyperlink"/><Relationship Id="rId29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30" Target="https://docs.logpresso.comnull" TargetMode="External" Type="http://schemas.openxmlformats.org/officeDocument/2006/relationships/hyperlink"/><Relationship Id="rId31" Target="https://docs.logpresso.comnull" TargetMode="External" Type="http://schemas.openxmlformats.org/officeDocument/2006/relationships/hyperlink"/><Relationship Id="rId32" Target="https://docs.logpresso.comnull" TargetMode="External" Type="http://schemas.openxmlformats.org/officeDocument/2006/relationships/hyperlink"/><Relationship Id="rId33" Target="media/image5.png" Type="http://schemas.openxmlformats.org/officeDocument/2006/relationships/image"/><Relationship Id="rId34" Target="media/image6.png" Type="http://schemas.openxmlformats.org/officeDocument/2006/relationships/image"/><Relationship Id="rId35" Target="media/image7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